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29A356CF"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1F1970">
        <w:rPr>
          <w:rFonts w:cs="Times New Roman"/>
          <w:b/>
          <w:sz w:val="28"/>
          <w:szCs w:val="28"/>
        </w:rPr>
        <w:t>7</w:t>
      </w:r>
      <w:r w:rsidR="00E73AE2" w:rsidRPr="00CA4E67">
        <w:rPr>
          <w:rFonts w:cs="Times New Roman"/>
          <w:b/>
          <w:sz w:val="28"/>
          <w:szCs w:val="28"/>
        </w:rPr>
        <w:t>/201</w:t>
      </w:r>
      <w:r w:rsidR="005A2CE9">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30F1D4DC" w14:textId="77777777" w:rsidR="001F1970" w:rsidRDefault="009923CC" w:rsidP="00E13EFB">
      <w:pPr>
        <w:spacing w:line="240" w:lineRule="auto"/>
        <w:jc w:val="both"/>
        <w:rPr>
          <w:rFonts w:cs="Times New Roman"/>
          <w:b/>
        </w:rPr>
      </w:pPr>
      <w:r w:rsidRPr="00CA4E67">
        <w:rPr>
          <w:rFonts w:cs="Times New Roman"/>
          <w:b/>
        </w:rPr>
        <w:t xml:space="preserve">3. Opis </w:t>
      </w:r>
      <w:bookmarkStart w:id="1" w:name="_Hlk531099278"/>
    </w:p>
    <w:p w14:paraId="5B44174F" w14:textId="77777777" w:rsidR="001F1970" w:rsidRPr="001F1970" w:rsidRDefault="001F1970" w:rsidP="001F1970">
      <w:pPr>
        <w:spacing w:line="240" w:lineRule="auto"/>
        <w:jc w:val="both"/>
        <w:rPr>
          <w:rFonts w:cs="Times New Roman"/>
        </w:rPr>
      </w:pPr>
      <w:r w:rsidRPr="001F1970">
        <w:rPr>
          <w:rFonts w:cs="Times New Roman"/>
        </w:rPr>
        <w:t xml:space="preserve">Przeprowadzenie  21 szkoleń weekendowych (piątek, sobota, niedziela) na terenie Polski. </w:t>
      </w:r>
    </w:p>
    <w:p w14:paraId="5E3F09E3" w14:textId="77777777" w:rsidR="001F1970" w:rsidRPr="001F1970" w:rsidRDefault="001F1970" w:rsidP="001F1970">
      <w:pPr>
        <w:spacing w:line="240" w:lineRule="auto"/>
        <w:jc w:val="both"/>
        <w:rPr>
          <w:rFonts w:cs="Times New Roman"/>
        </w:rPr>
      </w:pPr>
      <w:r w:rsidRPr="001F1970">
        <w:rPr>
          <w:rFonts w:cs="Times New Roman"/>
        </w:rPr>
        <w:t>Trener do przepracowania ma 8 godzin dziennie.</w:t>
      </w:r>
    </w:p>
    <w:p w14:paraId="336B41A7" w14:textId="77777777" w:rsidR="001F1970" w:rsidRPr="001F1970" w:rsidRDefault="001F1970" w:rsidP="001F1970">
      <w:pPr>
        <w:spacing w:line="240" w:lineRule="auto"/>
        <w:jc w:val="both"/>
        <w:rPr>
          <w:rFonts w:cs="Times New Roman"/>
        </w:rPr>
      </w:pPr>
      <w:r w:rsidRPr="001F1970">
        <w:rPr>
          <w:rFonts w:cs="Times New Roman"/>
        </w:rPr>
        <w:t>Przedmiot został podzielny na 7 części:</w:t>
      </w:r>
    </w:p>
    <w:p w14:paraId="34C264A2" w14:textId="77777777" w:rsidR="001F1970" w:rsidRPr="001F1970" w:rsidRDefault="001F1970" w:rsidP="001F1970">
      <w:pPr>
        <w:spacing w:line="240" w:lineRule="auto"/>
        <w:jc w:val="both"/>
        <w:rPr>
          <w:rFonts w:cs="Times New Roman"/>
        </w:rPr>
      </w:pPr>
      <w:r w:rsidRPr="001F1970">
        <w:rPr>
          <w:rFonts w:cs="Times New Roman"/>
        </w:rPr>
        <w:t>1 część : 9 dni szkoleniowych – 3 weekendy (temat szkolenia nr 1, 2, 3, 4)</w:t>
      </w:r>
    </w:p>
    <w:p w14:paraId="209B60D6" w14:textId="77777777" w:rsidR="001F1970" w:rsidRPr="001F1970" w:rsidRDefault="001F1970" w:rsidP="001F1970">
      <w:pPr>
        <w:spacing w:line="240" w:lineRule="auto"/>
        <w:jc w:val="both"/>
        <w:rPr>
          <w:rFonts w:cs="Times New Roman"/>
        </w:rPr>
      </w:pPr>
      <w:r w:rsidRPr="001F1970">
        <w:rPr>
          <w:rFonts w:cs="Times New Roman"/>
        </w:rPr>
        <w:t>2 część : 9 dni szkoleniowych – 3 weekendy (temat szkolenia nr 1, 2, 3, 4)</w:t>
      </w:r>
    </w:p>
    <w:p w14:paraId="03DEBE3F" w14:textId="77777777" w:rsidR="001F1970" w:rsidRPr="001F1970" w:rsidRDefault="001F1970" w:rsidP="001F1970">
      <w:pPr>
        <w:spacing w:line="240" w:lineRule="auto"/>
        <w:jc w:val="both"/>
        <w:rPr>
          <w:rFonts w:cs="Times New Roman"/>
        </w:rPr>
      </w:pPr>
      <w:r w:rsidRPr="001F1970">
        <w:rPr>
          <w:rFonts w:cs="Times New Roman"/>
        </w:rPr>
        <w:t>3 część : 9 dni szkoleniowych – 3 weekendy (temat szkolenia nr 1, 2, 3, 4)</w:t>
      </w:r>
    </w:p>
    <w:p w14:paraId="13353BD3" w14:textId="77777777" w:rsidR="001F1970" w:rsidRPr="001F1970" w:rsidRDefault="001F1970" w:rsidP="001F1970">
      <w:pPr>
        <w:spacing w:line="240" w:lineRule="auto"/>
        <w:jc w:val="both"/>
        <w:rPr>
          <w:rFonts w:cs="Times New Roman"/>
        </w:rPr>
      </w:pPr>
      <w:r w:rsidRPr="001F1970">
        <w:rPr>
          <w:rFonts w:cs="Times New Roman"/>
        </w:rPr>
        <w:t>4 część : 9 dni szkoleniowych – 3 weekendy (temat szkolenia nr 1, 2, 3, 4)</w:t>
      </w:r>
    </w:p>
    <w:p w14:paraId="7C44C552" w14:textId="77777777" w:rsidR="001F1970" w:rsidRPr="001F1970" w:rsidRDefault="001F1970" w:rsidP="001F1970">
      <w:pPr>
        <w:spacing w:line="240" w:lineRule="auto"/>
        <w:jc w:val="both"/>
        <w:rPr>
          <w:rFonts w:cs="Times New Roman"/>
        </w:rPr>
      </w:pPr>
      <w:r w:rsidRPr="001F1970">
        <w:rPr>
          <w:rFonts w:cs="Times New Roman"/>
        </w:rPr>
        <w:t>5 część : 9 dni szkoleniowych – 3 weekendy (temat szkolenia nr 1, 2, 3, 4)</w:t>
      </w:r>
    </w:p>
    <w:p w14:paraId="7552D96A" w14:textId="77777777" w:rsidR="001F1970" w:rsidRPr="001F1970" w:rsidRDefault="001F1970" w:rsidP="001F1970">
      <w:pPr>
        <w:spacing w:line="240" w:lineRule="auto"/>
        <w:jc w:val="both"/>
        <w:rPr>
          <w:rFonts w:cs="Times New Roman"/>
        </w:rPr>
      </w:pPr>
      <w:r w:rsidRPr="001F1970">
        <w:rPr>
          <w:rFonts w:cs="Times New Roman"/>
        </w:rPr>
        <w:lastRenderedPageBreak/>
        <w:t xml:space="preserve">6 część : 9 dni szkoleniowych – 3 weekendy (temat szkolenia nr 1, 2, 3, 4) </w:t>
      </w:r>
    </w:p>
    <w:p w14:paraId="4E02AFE4" w14:textId="066BB6D1" w:rsidR="00E13EFB" w:rsidRDefault="001F1970" w:rsidP="001F1970">
      <w:pPr>
        <w:spacing w:line="240" w:lineRule="auto"/>
        <w:jc w:val="both"/>
        <w:rPr>
          <w:rFonts w:cs="Times New Roman"/>
        </w:rPr>
      </w:pPr>
      <w:r w:rsidRPr="001F1970">
        <w:rPr>
          <w:rFonts w:cs="Times New Roman"/>
        </w:rPr>
        <w:t>7 część : 9 dni szkoleniowych – 3 weekendy (temat szkolenia nr 1, 2, 3, 4)</w:t>
      </w:r>
    </w:p>
    <w:p w14:paraId="5822AF58" w14:textId="77777777" w:rsidR="00E13EFB" w:rsidRDefault="00E13EFB" w:rsidP="00E13EFB">
      <w:pPr>
        <w:spacing w:line="240" w:lineRule="auto"/>
        <w:jc w:val="both"/>
        <w:rPr>
          <w:rFonts w:cs="Times New Roman"/>
        </w:rPr>
      </w:pPr>
      <w:r>
        <w:rPr>
          <w:rFonts w:cs="Times New Roman"/>
        </w:rPr>
        <w:t>Szkolenie dotyczyć ma następujących tematów:</w:t>
      </w:r>
    </w:p>
    <w:p w14:paraId="45ADA3ED" w14:textId="77777777" w:rsidR="00E13EFB" w:rsidRPr="00022B12" w:rsidRDefault="00E13EFB" w:rsidP="00E13EFB">
      <w:pPr>
        <w:spacing w:line="240" w:lineRule="auto"/>
        <w:jc w:val="both"/>
        <w:rPr>
          <w:rFonts w:cs="Times New Roman"/>
        </w:rPr>
      </w:pPr>
      <w:r>
        <w:rPr>
          <w:rFonts w:cs="Times New Roman"/>
        </w:rPr>
        <w:t xml:space="preserve">Temat 1. </w:t>
      </w:r>
      <w:r w:rsidRPr="00022B12">
        <w:rPr>
          <w:rFonts w:cs="Times New Roman"/>
        </w:rPr>
        <w:t xml:space="preserve">Temat - Rola Lidera w upowszechnianiu wiedzy i informacji nt. ochrony środowiska. </w:t>
      </w:r>
    </w:p>
    <w:p w14:paraId="31769696"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Role lidera w codziennej praktyce </w:t>
      </w:r>
    </w:p>
    <w:p w14:paraId="2D7BCA04"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Osobowość lidera. Co wpływa na nasze zachowania przywódcze?</w:t>
      </w:r>
    </w:p>
    <w:p w14:paraId="0101C6E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Przywództwo, a budowanie wartości społecznych/regionalnych walorów ekologicznych</w:t>
      </w:r>
    </w:p>
    <w:p w14:paraId="3C3888C0"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Czym się różni przywództwo od zarządzania?</w:t>
      </w:r>
    </w:p>
    <w:p w14:paraId="5FE2F8C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Różne role lidera, czyli praktyka jednoczesnego wypełniania funkcji przywódczych i zarządczych</w:t>
      </w:r>
    </w:p>
    <w:p w14:paraId="216DE29A"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5 zadań lidera społeczności lokalnej – kod skuteczność przywódczej</w:t>
      </w:r>
    </w:p>
    <w:p w14:paraId="0F9AE34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Jak działać skutecznie w praktyce?</w:t>
      </w:r>
    </w:p>
    <w:p w14:paraId="440E9AA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Style przywódcze i ich zastosowanie</w:t>
      </w:r>
    </w:p>
    <w:p w14:paraId="7F509DEF"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Analiza własnego stylu przywódczego</w:t>
      </w:r>
    </w:p>
    <w:p w14:paraId="52C7D7C7"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Nowe wyzwania liderów społecznych w projektach Ekologicznych</w:t>
      </w:r>
    </w:p>
    <w:p w14:paraId="57ADD42B" w14:textId="77777777" w:rsidR="00E13EFB" w:rsidRPr="00022B12" w:rsidRDefault="00E13EFB" w:rsidP="00E13EFB">
      <w:pPr>
        <w:spacing w:line="240" w:lineRule="auto"/>
        <w:jc w:val="both"/>
        <w:rPr>
          <w:rFonts w:cs="Times New Roman"/>
        </w:rPr>
      </w:pPr>
      <w:r>
        <w:rPr>
          <w:rFonts w:cs="Times New Roman"/>
        </w:rPr>
        <w:t xml:space="preserve">Temat 2. </w:t>
      </w:r>
      <w:r w:rsidRPr="00022B12">
        <w:rPr>
          <w:rFonts w:cs="Times New Roman"/>
        </w:rPr>
        <w:t>Temat: Komunikacja interpersonalna w procesie formułowania pozytywnego przekazu projektów społecznych i ekologicznych.</w:t>
      </w:r>
    </w:p>
    <w:p w14:paraId="42B15E85" w14:textId="77777777" w:rsidR="00E13EFB" w:rsidRPr="00C8524C" w:rsidRDefault="00E13EFB" w:rsidP="00E13EFB">
      <w:pPr>
        <w:spacing w:line="240" w:lineRule="auto"/>
        <w:jc w:val="both"/>
        <w:rPr>
          <w:rFonts w:cs="Times New Roman"/>
        </w:rPr>
      </w:pPr>
      <w:r w:rsidRPr="00022B12">
        <w:rPr>
          <w:rFonts w:cs="Times New Roman"/>
        </w:rPr>
        <w:t>•</w:t>
      </w:r>
      <w:r w:rsidRPr="00022B12">
        <w:rPr>
          <w:rFonts w:cs="Times New Roman"/>
        </w:rPr>
        <w:tab/>
      </w:r>
      <w:r w:rsidRPr="00C8524C">
        <w:rPr>
          <w:rFonts w:cs="Times New Roman"/>
        </w:rPr>
        <w:t xml:space="preserve">Łańcuch SEP: Społeczeństwo – Ekologia-  Profit </w:t>
      </w:r>
    </w:p>
    <w:p w14:paraId="2983F98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r>
      <w:r>
        <w:rPr>
          <w:rFonts w:cs="Times New Roman"/>
        </w:rPr>
        <w:t>S</w:t>
      </w:r>
      <w:r w:rsidRPr="00022B12">
        <w:rPr>
          <w:rFonts w:cs="Times New Roman"/>
        </w:rPr>
        <w:t xml:space="preserve">EP- Łańcuch powiązań między społecznością lokalną, postawą ekologiczną a profitem. </w:t>
      </w:r>
    </w:p>
    <w:p w14:paraId="4709328C" w14:textId="77777777" w:rsidR="00E13EFB" w:rsidRPr="00C8524C" w:rsidRDefault="00E13EFB" w:rsidP="00E13EFB">
      <w:pPr>
        <w:spacing w:line="240" w:lineRule="auto"/>
        <w:jc w:val="both"/>
        <w:rPr>
          <w:rFonts w:cs="Times New Roman"/>
        </w:rPr>
      </w:pPr>
      <w:r w:rsidRPr="00022B12">
        <w:rPr>
          <w:rFonts w:cs="Times New Roman"/>
        </w:rPr>
        <w:t>•</w:t>
      </w:r>
      <w:r w:rsidRPr="00022B12">
        <w:rPr>
          <w:rFonts w:cs="Times New Roman"/>
        </w:rPr>
        <w:tab/>
      </w:r>
      <w:r w:rsidRPr="00C8524C">
        <w:rPr>
          <w:rFonts w:cs="Times New Roman"/>
        </w:rPr>
        <w:t>Związki pomiędzy zadowoleniem społeczności lokalnej, lojalnością, swobodą działania a powodzeniem przedsięwzięcia  i organizacji regionu.</w:t>
      </w:r>
    </w:p>
    <w:p w14:paraId="46E4F1A9" w14:textId="77777777" w:rsidR="00E13EFB" w:rsidRPr="00C8524C" w:rsidRDefault="00E13EFB" w:rsidP="00E13EFB">
      <w:pPr>
        <w:spacing w:line="240" w:lineRule="auto"/>
        <w:jc w:val="both"/>
        <w:rPr>
          <w:rFonts w:cs="Times New Roman"/>
        </w:rPr>
      </w:pPr>
      <w:r w:rsidRPr="00022B12">
        <w:rPr>
          <w:rFonts w:cs="Times New Roman"/>
        </w:rPr>
        <w:t>•</w:t>
      </w:r>
      <w:r w:rsidRPr="00022B12">
        <w:rPr>
          <w:rFonts w:cs="Times New Roman"/>
        </w:rPr>
        <w:tab/>
      </w:r>
      <w:r w:rsidRPr="00C8524C">
        <w:rPr>
          <w:rFonts w:cs="Times New Roman"/>
        </w:rPr>
        <w:t>Komunikacja – Przegląd technik</w:t>
      </w:r>
    </w:p>
    <w:p w14:paraId="5817C133"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Zasady prowadzenia produktywnego dialogu społecznego</w:t>
      </w:r>
    </w:p>
    <w:p w14:paraId="225BB572"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Typologia osobowości - typ osobowości społecznej metodologia Extended Disc</w:t>
      </w:r>
    </w:p>
    <w:p w14:paraId="334C89D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Jak myślą ludzie – ochrona środowiska warto się zaangażować czy lekceważyć </w:t>
      </w:r>
    </w:p>
    <w:p w14:paraId="1A4FE1A2"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Savoir-vivre w kontaktach społecznych</w:t>
      </w:r>
    </w:p>
    <w:p w14:paraId="058FBB0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Trudne rozmowy – jak zarządzać obiekcjami związanymi z inicjatywami ekologicznymi?</w:t>
      </w:r>
    </w:p>
    <w:p w14:paraId="7605BCD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Od złej komunikacji do złych decyzji - typologia problemów i błędów - jak je rozpoznawać i eliminować?</w:t>
      </w:r>
    </w:p>
    <w:p w14:paraId="552AC678"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Zasada pierwszego wrażenia vs przyszłość w pracy z zespołem/społecznością</w:t>
      </w:r>
    </w:p>
    <w:p w14:paraId="650CCA53"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Techniki świadomego posługiwania się ośrodkami komunikacji w procesie uświadamiania potrzeby ochrony środowiska</w:t>
      </w:r>
    </w:p>
    <w:p w14:paraId="36BABF1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Komunikacja werbalna, dlaczego słowo waży tak mało, ale mimo wszystko jest bardzo ważne w procesie komunikacji</w:t>
      </w:r>
    </w:p>
    <w:p w14:paraId="3541FFF8" w14:textId="77777777" w:rsidR="00E13EFB" w:rsidRPr="00022B12" w:rsidRDefault="00E13EFB" w:rsidP="00E13EFB">
      <w:pPr>
        <w:spacing w:line="240" w:lineRule="auto"/>
        <w:jc w:val="both"/>
        <w:rPr>
          <w:rFonts w:cs="Times New Roman"/>
        </w:rPr>
      </w:pPr>
    </w:p>
    <w:p w14:paraId="4005976C" w14:textId="77777777" w:rsidR="00E13EFB" w:rsidRPr="00022B12" w:rsidRDefault="00E13EFB" w:rsidP="00E13EFB">
      <w:pPr>
        <w:spacing w:line="240" w:lineRule="auto"/>
        <w:jc w:val="both"/>
        <w:rPr>
          <w:rFonts w:cs="Times New Roman"/>
        </w:rPr>
      </w:pPr>
      <w:r>
        <w:rPr>
          <w:rFonts w:cs="Times New Roman"/>
        </w:rPr>
        <w:lastRenderedPageBreak/>
        <w:t xml:space="preserve">Temat 3. </w:t>
      </w:r>
      <w:r w:rsidRPr="00022B12">
        <w:rPr>
          <w:rFonts w:cs="Times New Roman"/>
        </w:rPr>
        <w:t>Temat: Doskonały Plan – „Planowanie” strategii społecznej w kontekście podniesienia świadomości ekologicznej i aktywizacji działań na rzecz zrównoważonego rozwoju na przykładzie Puszczy Białowieskiej</w:t>
      </w:r>
    </w:p>
    <w:p w14:paraId="318EEB45"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Rola i znaczenie zarządzania strategicznego w nowoczesnej społeczności lokalnej</w:t>
      </w:r>
    </w:p>
    <w:p w14:paraId="52E47228"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Jak powstają wygrywające strategie: krok po kroku – opis procesu</w:t>
      </w:r>
    </w:p>
    <w:p w14:paraId="20FC5C4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Konkurowanie w warunkach dużej zmienności oczekiwań społecznych</w:t>
      </w:r>
    </w:p>
    <w:p w14:paraId="0C6D9B7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Od wizji do strategii i z powrotem</w:t>
      </w:r>
    </w:p>
    <w:p w14:paraId="63F0EAA2"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Natura 2000 jako przykład; kreowanie oferty wartości dla społeczności lokalnej </w:t>
      </w:r>
    </w:p>
    <w:p w14:paraId="2C66259D"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Organizacja procesu formułowania strategii</w:t>
      </w:r>
    </w:p>
    <w:p w14:paraId="65BDCCED"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Narzędzia diagnozy sytuacji strategicznej</w:t>
      </w:r>
    </w:p>
    <w:p w14:paraId="3D6B9895" w14:textId="77777777" w:rsidR="00E13EFB" w:rsidRPr="00022B12" w:rsidRDefault="00E13EFB" w:rsidP="00E13EFB">
      <w:pPr>
        <w:spacing w:line="240" w:lineRule="auto"/>
        <w:jc w:val="both"/>
        <w:rPr>
          <w:rFonts w:cs="Times New Roman"/>
        </w:rPr>
      </w:pPr>
    </w:p>
    <w:p w14:paraId="63C968F7" w14:textId="77777777" w:rsidR="00E13EFB" w:rsidRPr="00022B12" w:rsidRDefault="00E13EFB" w:rsidP="00E13EFB">
      <w:pPr>
        <w:spacing w:line="240" w:lineRule="auto"/>
        <w:jc w:val="both"/>
        <w:rPr>
          <w:rFonts w:cs="Times New Roman"/>
        </w:rPr>
      </w:pPr>
      <w:r>
        <w:rPr>
          <w:rFonts w:cs="Times New Roman"/>
        </w:rPr>
        <w:t xml:space="preserve">Temat 4. </w:t>
      </w:r>
      <w:r w:rsidRPr="00022B12">
        <w:rPr>
          <w:rFonts w:cs="Times New Roman"/>
        </w:rPr>
        <w:t>Temat: Zarządzanie zmianą, czyli wdrażanie strategii projekt</w:t>
      </w:r>
      <w:r>
        <w:rPr>
          <w:rFonts w:cs="Times New Roman"/>
        </w:rPr>
        <w:t>ów społecznych i ekologicznych.</w:t>
      </w:r>
    </w:p>
    <w:p w14:paraId="40CCA798"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Skuteczne i efektywne wdrażanie strategii - Od strategicznych wyborów do skutecznej implementacji</w:t>
      </w:r>
    </w:p>
    <w:p w14:paraId="0646403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Podstawy efektywnego wdrażania strategii projektów społecznych i ekologicznych – problemy i rozwiązania w wdrażaniu strategii </w:t>
      </w:r>
    </w:p>
    <w:p w14:paraId="501A818E"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Strategiczna karta wyników projektu - jako system zarządzania strategią</w:t>
      </w:r>
    </w:p>
    <w:p w14:paraId="23E8FCEE"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Proces i narzędzia zarządzania zmianą </w:t>
      </w:r>
    </w:p>
    <w:p w14:paraId="3C3BEFDB"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Zarządzanie zmianą w praktyce</w:t>
      </w:r>
    </w:p>
    <w:p w14:paraId="626D83A4"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Rola i funkcje Lidera. </w:t>
      </w:r>
    </w:p>
    <w:p w14:paraId="1E6017AD"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Postawa  Lider</w:t>
      </w:r>
    </w:p>
    <w:p w14:paraId="67790D4E"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Komunikacja i wsparcie w procesie realizacji zmiany</w:t>
      </w:r>
    </w:p>
    <w:p w14:paraId="2A0051CA"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„Twarde i miękkie”  techniki zarządzania zmianą</w:t>
      </w:r>
    </w:p>
    <w:p w14:paraId="694E6DCC" w14:textId="77777777" w:rsidR="00E13EFB" w:rsidRDefault="00E13EFB" w:rsidP="00E13EFB">
      <w:pPr>
        <w:spacing w:line="240" w:lineRule="auto"/>
        <w:jc w:val="both"/>
        <w:rPr>
          <w:rFonts w:cs="Times New Roman"/>
        </w:rPr>
      </w:pPr>
      <w:r w:rsidRPr="00022B12">
        <w:rPr>
          <w:rFonts w:cs="Times New Roman"/>
        </w:rPr>
        <w:t>•</w:t>
      </w:r>
      <w:r w:rsidRPr="00022B12">
        <w:rPr>
          <w:rFonts w:cs="Times New Roman"/>
        </w:rPr>
        <w:tab/>
        <w:t>Ocena efektywności procesu zarządzania zmianą</w:t>
      </w:r>
    </w:p>
    <w:p w14:paraId="00D72CE4" w14:textId="77777777" w:rsidR="00E13EFB" w:rsidRDefault="00E13EFB" w:rsidP="00E13EFB">
      <w:pPr>
        <w:spacing w:line="240" w:lineRule="auto"/>
        <w:jc w:val="both"/>
        <w:rPr>
          <w:rFonts w:cs="Times New Roman"/>
        </w:rPr>
      </w:pPr>
    </w:p>
    <w:p w14:paraId="59E1CB04" w14:textId="77777777" w:rsidR="00E13EFB" w:rsidRDefault="00E13EFB" w:rsidP="00E13EFB">
      <w:pPr>
        <w:spacing w:line="240" w:lineRule="auto"/>
        <w:jc w:val="both"/>
        <w:rPr>
          <w:rFonts w:cs="Times New Roman"/>
        </w:rPr>
      </w:pPr>
      <w:r>
        <w:rPr>
          <w:rFonts w:cs="Times New Roman"/>
        </w:rPr>
        <w:t xml:space="preserve">Przedmiot zamówienia realizowany może być w częściach. Oferent może złożyć ofertę na przeprowadzenie co najmniej jednego, pełnego cyklu szkolenia. </w:t>
      </w:r>
    </w:p>
    <w:p w14:paraId="46364E64" w14:textId="29C11F62" w:rsidR="00E13EFB" w:rsidRDefault="00E13EFB" w:rsidP="00E13EFB">
      <w:pPr>
        <w:spacing w:line="240" w:lineRule="auto"/>
        <w:jc w:val="both"/>
        <w:rPr>
          <w:rFonts w:cs="Times New Roman"/>
        </w:rPr>
      </w:pPr>
      <w:r>
        <w:rPr>
          <w:rFonts w:cs="Times New Roman"/>
        </w:rPr>
        <w:t>Na cykl szkolenia składają się 3 weekendy (9 pełnych dni – piątek, sobota, niedziela).</w:t>
      </w:r>
      <w:r w:rsidR="00FB34B0">
        <w:rPr>
          <w:rFonts w:cs="Times New Roman"/>
        </w:rPr>
        <w:t xml:space="preserve"> </w:t>
      </w:r>
      <w:r w:rsidR="00FB34B0">
        <w:rPr>
          <w:noProof/>
        </w:rPr>
        <w:t xml:space="preserve">Jeden cykl powinno prowadzić trzech trenerów. </w:t>
      </w:r>
    </w:p>
    <w:p w14:paraId="42895F02" w14:textId="6DA72A16" w:rsidR="000B6392" w:rsidRPr="00261857" w:rsidRDefault="000B6392" w:rsidP="000B6392">
      <w:pPr>
        <w:spacing w:line="240" w:lineRule="auto"/>
        <w:jc w:val="both"/>
        <w:rPr>
          <w:rFonts w:cs="Times New Roman"/>
          <w:b/>
        </w:rPr>
      </w:pPr>
      <w:r w:rsidRPr="00261857">
        <w:rPr>
          <w:rFonts w:cs="Times New Roman"/>
          <w:b/>
        </w:rPr>
        <w:t>4. Termin wykonania zamówienia.</w:t>
      </w:r>
    </w:p>
    <w:p w14:paraId="2B0E9A35" w14:textId="77777777" w:rsidR="000B6392" w:rsidRPr="000B6392" w:rsidRDefault="000B6392" w:rsidP="000B6392">
      <w:pPr>
        <w:spacing w:line="240" w:lineRule="auto"/>
        <w:jc w:val="both"/>
        <w:rPr>
          <w:rFonts w:cs="Times New Roman"/>
        </w:rPr>
      </w:pPr>
      <w:r w:rsidRPr="000B6392">
        <w:rPr>
          <w:rFonts w:cs="Times New Roman"/>
        </w:rPr>
        <w:t>•</w:t>
      </w:r>
      <w:r w:rsidRPr="000B6392">
        <w:rPr>
          <w:rFonts w:cs="Times New Roman"/>
        </w:rPr>
        <w:tab/>
        <w:t>Szkolenia będą prowadzane w terminie od stycznia 2019 do czerwca 2020 r.</w:t>
      </w:r>
    </w:p>
    <w:p w14:paraId="66B19409" w14:textId="6A3EABDB" w:rsidR="00E13EFB" w:rsidRDefault="000B6392" w:rsidP="000B6392">
      <w:pPr>
        <w:spacing w:line="240" w:lineRule="auto"/>
        <w:jc w:val="both"/>
        <w:rPr>
          <w:rFonts w:cs="Times New Roman"/>
        </w:rPr>
      </w:pPr>
      <w:r w:rsidRPr="000B6392">
        <w:rPr>
          <w:rFonts w:cs="Times New Roman"/>
        </w:rPr>
        <w:t>•</w:t>
      </w:r>
      <w:r w:rsidRPr="000B6392">
        <w:rPr>
          <w:rFonts w:cs="Times New Roman"/>
        </w:rPr>
        <w:tab/>
        <w:t>Indywidualne terminy szkoleń zostaną ustalone z poszczególnymi wykonawcami których oferty zostaną wybrane jako najkorzystniejsze w danej części zamówienia przed zawarciem umowy.</w:t>
      </w:r>
    </w:p>
    <w:bookmarkEnd w:id="1"/>
    <w:p w14:paraId="20C508C5" w14:textId="6F5E98C0" w:rsidR="009923CC" w:rsidRDefault="009923CC" w:rsidP="006A21FA">
      <w:pPr>
        <w:spacing w:line="240" w:lineRule="auto"/>
        <w:jc w:val="both"/>
        <w:rPr>
          <w:rFonts w:cs="Times New Roman"/>
          <w:b/>
        </w:rPr>
      </w:pPr>
    </w:p>
    <w:p w14:paraId="461DD86F" w14:textId="54DA751D" w:rsidR="000C17D2" w:rsidRPr="00CA4E67" w:rsidRDefault="00594140" w:rsidP="006A21FA">
      <w:pPr>
        <w:spacing w:line="240" w:lineRule="auto"/>
        <w:jc w:val="both"/>
        <w:rPr>
          <w:rFonts w:cs="Times New Roman"/>
          <w:b/>
        </w:rPr>
      </w:pPr>
      <w:r w:rsidRPr="00594140">
        <w:rPr>
          <w:rFonts w:cs="Times New Roman"/>
        </w:rPr>
        <w:tab/>
      </w:r>
      <w:r w:rsidR="000C17D2"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lastRenderedPageBreak/>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7A50AC35" w:rsidR="00E44881"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 xml:space="preserve">wienia, </w:t>
      </w:r>
      <w:r w:rsidR="00243EBE" w:rsidRPr="00243EBE">
        <w:rPr>
          <w:rFonts w:cs="Times New Roman"/>
        </w:rPr>
        <w:t>którego przedmiotem było przeprowadzenie szkoleń z tematy</w:t>
      </w:r>
      <w:r w:rsidR="00243EBE">
        <w:rPr>
          <w:rFonts w:cs="Times New Roman"/>
        </w:rPr>
        <w:t>ki</w:t>
      </w:r>
      <w:r w:rsidR="006232DF">
        <w:rPr>
          <w:rFonts w:cs="Times New Roman"/>
        </w:rPr>
        <w:t xml:space="preserve"> części na którą</w:t>
      </w:r>
      <w:r w:rsidR="00A63795">
        <w:rPr>
          <w:rFonts w:cs="Times New Roman"/>
        </w:rPr>
        <w:t xml:space="preserve"> składa ofertę</w:t>
      </w:r>
      <w:r w:rsidR="00243EBE">
        <w:rPr>
          <w:rFonts w:cs="Times New Roman"/>
        </w:rPr>
        <w:t>.</w:t>
      </w:r>
      <w:r w:rsidR="00A63795">
        <w:rPr>
          <w:rFonts w:cs="Times New Roman"/>
        </w:rPr>
        <w:t xml:space="preserve"> Jeżeli wykonawca składa ofertę na kilka części powinien wykazać ilość i zakres szkoleń odpowiadający zakresowi części na które składa ofertę.</w:t>
      </w:r>
    </w:p>
    <w:p w14:paraId="7AEB8A7E" w14:textId="72AE7158" w:rsidR="003D6169" w:rsidRPr="003D6169" w:rsidRDefault="003D6169" w:rsidP="003D6169">
      <w:pPr>
        <w:spacing w:line="240" w:lineRule="auto"/>
        <w:jc w:val="both"/>
        <w:rPr>
          <w:rFonts w:cs="Times New Roman"/>
        </w:rPr>
      </w:pPr>
      <w:r>
        <w:rPr>
          <w:rFonts w:cs="Times New Roman"/>
        </w:rPr>
        <w:t xml:space="preserve">2. </w:t>
      </w:r>
      <w:r w:rsidRPr="003D6169">
        <w:rPr>
          <w:rFonts w:cs="Times New Roman"/>
        </w:rPr>
        <w:t xml:space="preserve">Informacja dla wykonawców polegających na zasobach podmiotów trzecich: </w:t>
      </w:r>
    </w:p>
    <w:p w14:paraId="392D0DB8" w14:textId="77777777" w:rsidR="003D6169" w:rsidRPr="003D6169" w:rsidRDefault="003D6169" w:rsidP="003D6169">
      <w:pPr>
        <w:spacing w:line="240" w:lineRule="auto"/>
        <w:jc w:val="both"/>
        <w:rPr>
          <w:rFonts w:cs="Times New Roman"/>
        </w:rPr>
      </w:pPr>
      <w:r w:rsidRPr="003D6169">
        <w:rPr>
          <w:rFonts w:cs="Times New Roman"/>
        </w:rPr>
        <w:t xml:space="preserve">1) Wykonawca może w celu potwierdzenia spełniania warunków udziału w postępowaniu wskazanych w ust. 1 pkt 2), polegać na zdolnościach zawodowych lub sytuacji finansowej lub ekonomicznej innych podmiotów, niezależnie od charakteru prawnego łączących go z nim stosunków prawnych. </w:t>
      </w:r>
    </w:p>
    <w:p w14:paraId="10740EC2" w14:textId="77777777" w:rsidR="003D6169" w:rsidRPr="003D6169" w:rsidRDefault="003D6169" w:rsidP="003D6169">
      <w:pPr>
        <w:spacing w:line="240" w:lineRule="auto"/>
        <w:jc w:val="both"/>
        <w:rPr>
          <w:rFonts w:cs="Times New Roman"/>
        </w:rPr>
      </w:pPr>
      <w:r w:rsidRPr="003D6169">
        <w:rPr>
          <w:rFonts w:cs="Times New Roman"/>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F66E3D2" w14:textId="77777777" w:rsidR="003D6169" w:rsidRPr="003D6169" w:rsidRDefault="003D6169" w:rsidP="003D6169">
      <w:pPr>
        <w:spacing w:line="240" w:lineRule="auto"/>
        <w:jc w:val="both"/>
        <w:rPr>
          <w:rFonts w:cs="Times New Roman"/>
        </w:rPr>
      </w:pPr>
      <w:r w:rsidRPr="003D6169">
        <w:rPr>
          <w:rFonts w:cs="Times New Roman"/>
        </w:rPr>
        <w:t>3) Zamawiający ocenia, czy udostępniane wykonawcy przez inne podmioty zdolności zawodowe, pozwalają na wykazanie przez wykonawcę spełniania warunków udziału  w postępowaniu.</w:t>
      </w:r>
    </w:p>
    <w:p w14:paraId="393EC3BC" w14:textId="77777777" w:rsidR="003D6169" w:rsidRPr="003D6169" w:rsidRDefault="003D6169" w:rsidP="003D6169">
      <w:pPr>
        <w:spacing w:line="240" w:lineRule="auto"/>
        <w:jc w:val="both"/>
        <w:rPr>
          <w:rFonts w:cs="Times New Roman"/>
        </w:rPr>
      </w:pPr>
      <w:r w:rsidRPr="003D6169">
        <w:rPr>
          <w:rFonts w:cs="Times New Roman"/>
        </w:rPr>
        <w:t xml:space="preserve"> 4) W odniesieniu do warunków dotyczących doświadczenia, wykonawcy mogą polegać  na zdolnościach innych podmiotów, jeśli podmioty te zrealizują usługi, do realizacji których  te zdolności są wymagane. </w:t>
      </w:r>
    </w:p>
    <w:p w14:paraId="37E7D1F9" w14:textId="77777777" w:rsidR="003D6169" w:rsidRPr="003D6169" w:rsidRDefault="003D6169" w:rsidP="003D6169">
      <w:pPr>
        <w:spacing w:line="240" w:lineRule="auto"/>
        <w:jc w:val="both"/>
        <w:rPr>
          <w:rFonts w:cs="Times New Roman"/>
        </w:rPr>
      </w:pPr>
      <w:r w:rsidRPr="003D6169">
        <w:rPr>
          <w:rFonts w:cs="Times New Roman"/>
        </w:rPr>
        <w:t>5) Jeżeli zdolności zawodowe, podmiotu, o którym mowa w pkt 1, nie potwierdzają spełnienia przez wykonawcę warunków udziału w postępowaniu, zamawiający żąda, aby wykonawca  w terminie określonym przez zamawiającego:</w:t>
      </w:r>
    </w:p>
    <w:p w14:paraId="536F0CA8" w14:textId="77777777" w:rsidR="003D6169" w:rsidRPr="003D6169" w:rsidRDefault="003D6169" w:rsidP="003D6169">
      <w:pPr>
        <w:spacing w:line="240" w:lineRule="auto"/>
        <w:jc w:val="both"/>
        <w:rPr>
          <w:rFonts w:cs="Times New Roman"/>
        </w:rPr>
      </w:pPr>
      <w:r w:rsidRPr="003D6169">
        <w:rPr>
          <w:rFonts w:cs="Times New Roman"/>
        </w:rPr>
        <w:t xml:space="preserve"> a) zastąpi ten podmiot innym podmiotem lub podmiotami lub </w:t>
      </w:r>
    </w:p>
    <w:p w14:paraId="03EB5B07" w14:textId="664562A5" w:rsidR="003D6169" w:rsidRPr="00E31267" w:rsidRDefault="003D6169" w:rsidP="003D6169">
      <w:pPr>
        <w:spacing w:line="240" w:lineRule="auto"/>
        <w:jc w:val="both"/>
        <w:rPr>
          <w:rFonts w:cs="Times New Roman"/>
        </w:rPr>
      </w:pPr>
      <w:r w:rsidRPr="003D6169">
        <w:rPr>
          <w:rFonts w:cs="Times New Roman"/>
        </w:rPr>
        <w:t xml:space="preserve">b) zobowiązał się do osobistego wykonania odpowiedniej części zamówienia, jeżeli wykaże zdolności zawodowe, o których mowa w ust. 1 pkt 2).  </w:t>
      </w:r>
    </w:p>
    <w:p w14:paraId="2460ECE6" w14:textId="55430CB6" w:rsidR="00BE225A" w:rsidRPr="00CA4E67" w:rsidRDefault="003D6169" w:rsidP="006A21FA">
      <w:pPr>
        <w:spacing w:line="240" w:lineRule="auto"/>
        <w:jc w:val="both"/>
        <w:rPr>
          <w:rFonts w:cs="Times New Roman"/>
        </w:rPr>
      </w:pPr>
      <w:r>
        <w:rPr>
          <w:rFonts w:cs="Times New Roman"/>
        </w:rPr>
        <w:t>3</w:t>
      </w:r>
      <w:r w:rsidR="00BE225A" w:rsidRPr="00CA4E67">
        <w:rPr>
          <w:rFonts w:cs="Times New Roman"/>
        </w:rPr>
        <w:t>.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lastRenderedPageBreak/>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784BFA9C" w14:textId="7508A486" w:rsidR="00BE225A" w:rsidRPr="00CA4E67" w:rsidRDefault="00BE225A" w:rsidP="006232DF">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43954D07"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5802671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w:t>
      </w:r>
      <w:bookmarkStart w:id="2" w:name="_GoBack"/>
      <w:bookmarkEnd w:id="2"/>
      <w:r w:rsidRPr="00CA4E67">
        <w:rPr>
          <w:rFonts w:cs="Times New Roman"/>
        </w:rPr>
        <w:t xml:space="preserve">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lastRenderedPageBreak/>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3D4F2927" w:rsidR="0075079E" w:rsidRPr="00CA4E67" w:rsidRDefault="0075079E" w:rsidP="006A21FA">
      <w:pPr>
        <w:spacing w:line="240" w:lineRule="auto"/>
        <w:jc w:val="both"/>
        <w:rPr>
          <w:rFonts w:cs="Times New Roman"/>
        </w:rPr>
      </w:pPr>
      <w:r w:rsidRPr="00CA4E67">
        <w:rPr>
          <w:rFonts w:cs="Times New Roman"/>
        </w:rPr>
        <w:lastRenderedPageBreak/>
        <w:t xml:space="preserve">6) wykonawca w terminie </w:t>
      </w:r>
      <w:r w:rsidR="0043709A">
        <w:rPr>
          <w:rFonts w:cs="Times New Roman"/>
        </w:rPr>
        <w:t>2</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lastRenderedPageBreak/>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7CDFFC43"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w:t>
      </w:r>
      <w:r w:rsidR="00D00C4E">
        <w:rPr>
          <w:rFonts w:cs="Times New Roman"/>
        </w:rPr>
        <w:t xml:space="preserve">. W Formularzy wykonawca musi wskazać części na które składa ofertę wraz z oferowaną ceną. </w:t>
      </w:r>
      <w:r w:rsidRPr="00CA4E67">
        <w:rPr>
          <w:rFonts w:cs="Times New Roman"/>
        </w:rPr>
        <w:t xml:space="preserve">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3FE4F334"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r w:rsidR="006232DF">
        <w:rPr>
          <w:rFonts w:cs="Times New Roman"/>
        </w:rPr>
        <w:t xml:space="preserve"> zgodnie z Załącznikiem nr 4 do Zapytania;</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lastRenderedPageBreak/>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2EDB102C"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45CAF029" w14:textId="77777777" w:rsidR="00D82E8C" w:rsidRPr="00D82E8C" w:rsidRDefault="00D82E8C" w:rsidP="00D82E8C">
      <w:pPr>
        <w:spacing w:line="240" w:lineRule="auto"/>
        <w:jc w:val="both"/>
        <w:rPr>
          <w:rFonts w:cs="Times New Roman"/>
        </w:rPr>
      </w:pPr>
      <w:r w:rsidRPr="00D82E8C">
        <w:rPr>
          <w:rFonts w:cs="Times New Roman"/>
        </w:rPr>
        <w:t>a)</w:t>
      </w:r>
      <w:r w:rsidRPr="00D82E8C">
        <w:rPr>
          <w:rFonts w:cs="Times New Roman"/>
        </w:rPr>
        <w:tab/>
        <w:t>Oświadczenia, dotyczące Wykonawcy i innych podmiotów, na których zdolnościach zawodowych polega Wykonawca, składane  są w oryginale.</w:t>
      </w:r>
    </w:p>
    <w:p w14:paraId="156C23A6" w14:textId="77777777" w:rsidR="00D82E8C" w:rsidRPr="00D82E8C" w:rsidRDefault="00D82E8C" w:rsidP="00D82E8C">
      <w:pPr>
        <w:spacing w:line="240" w:lineRule="auto"/>
        <w:jc w:val="both"/>
        <w:rPr>
          <w:rFonts w:cs="Times New Roman"/>
        </w:rPr>
      </w:pPr>
      <w:r w:rsidRPr="00D82E8C">
        <w:rPr>
          <w:rFonts w:cs="Times New Roman"/>
        </w:rPr>
        <w:t>b)</w:t>
      </w:r>
      <w:r w:rsidRPr="00D82E8C">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70A0471B" w14:textId="77777777" w:rsidR="00D82E8C" w:rsidRPr="00D82E8C" w:rsidRDefault="00D82E8C" w:rsidP="00D82E8C">
      <w:pPr>
        <w:spacing w:line="240" w:lineRule="auto"/>
        <w:jc w:val="both"/>
        <w:rPr>
          <w:rFonts w:cs="Times New Roman"/>
        </w:rPr>
      </w:pPr>
      <w:r w:rsidRPr="00D82E8C">
        <w:rPr>
          <w:rFonts w:cs="Times New Roman"/>
        </w:rPr>
        <w:t>c)</w:t>
      </w:r>
      <w:r w:rsidRPr="00D82E8C">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4FD4D2AA" w14:textId="77777777" w:rsidR="00D82E8C" w:rsidRPr="00D82E8C" w:rsidRDefault="00D82E8C" w:rsidP="00D82E8C">
      <w:pPr>
        <w:spacing w:line="240" w:lineRule="auto"/>
        <w:jc w:val="both"/>
        <w:rPr>
          <w:rFonts w:cs="Times New Roman"/>
        </w:rPr>
      </w:pPr>
      <w:r w:rsidRPr="00D82E8C">
        <w:rPr>
          <w:rFonts w:cs="Times New Roman"/>
        </w:rPr>
        <w:t>d)</w:t>
      </w:r>
      <w:r w:rsidRPr="00D82E8C">
        <w:rPr>
          <w:rFonts w:cs="Times New Roman"/>
        </w:rPr>
        <w:tab/>
        <w:t xml:space="preserve">Dokumenty sporządzone w języku obcym są składane wraz z ich tłumaczeniem na język polski. </w:t>
      </w:r>
    </w:p>
    <w:p w14:paraId="25082521" w14:textId="32A2A757" w:rsidR="005A2CE9" w:rsidRPr="00CA4E67" w:rsidRDefault="00D82E8C" w:rsidP="00D82E8C">
      <w:pPr>
        <w:spacing w:line="240" w:lineRule="auto"/>
        <w:jc w:val="both"/>
        <w:rPr>
          <w:rFonts w:cs="Times New Roman"/>
        </w:rPr>
      </w:pPr>
      <w:r w:rsidRPr="00D82E8C">
        <w:rPr>
          <w:rFonts w:cs="Times New Roman"/>
        </w:rPr>
        <w:t>e)</w:t>
      </w:r>
      <w:r w:rsidRPr="00D82E8C">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lastRenderedPageBreak/>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530A55BC"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3D6169">
        <w:rPr>
          <w:rFonts w:cs="Times New Roman"/>
        </w:rPr>
        <w:t>2</w:t>
      </w:r>
      <w:r w:rsidR="00D82E8C">
        <w:rPr>
          <w:rFonts w:cs="Times New Roman"/>
        </w:rPr>
        <w:t xml:space="preserve">5 </w:t>
      </w:r>
      <w:r w:rsidR="003D6169">
        <w:rPr>
          <w:rFonts w:cs="Times New Roman"/>
        </w:rPr>
        <w:t>lutego</w:t>
      </w:r>
      <w:r w:rsidR="006232DF">
        <w:rPr>
          <w:rFonts w:cs="Times New Roman"/>
        </w:rPr>
        <w:t xml:space="preserve"> </w:t>
      </w:r>
      <w:r w:rsidR="00D82E8C">
        <w:rPr>
          <w:rFonts w:cs="Times New Roman"/>
        </w:rPr>
        <w:t>2019 r.</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50E5C26D"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3D6169">
        <w:rPr>
          <w:rFonts w:cs="Times New Roman"/>
        </w:rPr>
        <w:t>25 lutego</w:t>
      </w:r>
      <w:r w:rsidR="00D82E8C">
        <w:rPr>
          <w:rFonts w:cs="Times New Roman"/>
        </w:rPr>
        <w:t xml:space="preserve"> 2019 </w:t>
      </w:r>
      <w:r w:rsidRPr="00CA4E67">
        <w:rPr>
          <w:rFonts w:cs="Times New Roman"/>
        </w:rPr>
        <w:t xml:space="preserve"> r. do godz. 10.00 </w:t>
      </w:r>
      <w:bookmarkStart w:id="3" w:name="_Hlk528932576"/>
      <w:r w:rsidRPr="00CA4E67">
        <w:rPr>
          <w:rFonts w:cs="Times New Roman"/>
        </w:rPr>
        <w:t xml:space="preserve">w Biurze „FUNDACJI DLA MŁODZIEŻY”, ul. Miodowa 17/19, 00-246 Warszawa.   </w:t>
      </w:r>
    </w:p>
    <w:bookmarkEnd w:id="3"/>
    <w:p w14:paraId="039C2B82" w14:textId="2DC98E6B"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3D6169">
        <w:rPr>
          <w:rFonts w:cs="Times New Roman"/>
        </w:rPr>
        <w:t>25 lutego</w:t>
      </w:r>
      <w:r w:rsidR="00D82E8C">
        <w:rPr>
          <w:rFonts w:cs="Times New Roman"/>
        </w:rPr>
        <w:t xml:space="preserve"> 2019 r.</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lastRenderedPageBreak/>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t xml:space="preserve">KRYTERIA OCENY OFERT  </w:t>
      </w:r>
    </w:p>
    <w:p w14:paraId="701BF5F6" w14:textId="77777777" w:rsidR="00594140" w:rsidRPr="00594140" w:rsidRDefault="00594140" w:rsidP="00594140">
      <w:pPr>
        <w:spacing w:line="240" w:lineRule="auto"/>
        <w:jc w:val="both"/>
        <w:rPr>
          <w:rFonts w:cs="Times New Roman"/>
        </w:rPr>
      </w:pPr>
      <w:r w:rsidRPr="00594140">
        <w:rPr>
          <w:rFonts w:cs="Times New Roman"/>
        </w:rPr>
        <w:t>1) CENA: Najwyższą liczbę punktów – 40, otrzyma oferta zawierająca najniższą cenę brutto za wykonanie niniejszego zamówienia, a pozostali odpowiednio mniej wg wzoru:  C=</w:t>
      </w:r>
      <w:proofErr w:type="spellStart"/>
      <w:r w:rsidRPr="00594140">
        <w:rPr>
          <w:rFonts w:cs="Times New Roman"/>
        </w:rPr>
        <w:t>Cn</w:t>
      </w:r>
      <w:proofErr w:type="spellEnd"/>
      <w:r w:rsidRPr="00594140">
        <w:rPr>
          <w:rFonts w:cs="Times New Roman"/>
        </w:rPr>
        <w:t>/</w:t>
      </w:r>
      <w:proofErr w:type="spellStart"/>
      <w:r w:rsidRPr="00594140">
        <w:rPr>
          <w:rFonts w:cs="Times New Roman"/>
        </w:rPr>
        <w:t>Cb</w:t>
      </w:r>
      <w:proofErr w:type="spellEnd"/>
      <w:r w:rsidRPr="00594140">
        <w:rPr>
          <w:rFonts w:cs="Times New Roman"/>
        </w:rPr>
        <w:t xml:space="preserve"> x 40 pkt </w:t>
      </w:r>
    </w:p>
    <w:p w14:paraId="7BB7C923" w14:textId="77777777" w:rsidR="00594140" w:rsidRPr="00594140" w:rsidRDefault="00594140" w:rsidP="00594140">
      <w:pPr>
        <w:spacing w:line="240" w:lineRule="auto"/>
        <w:jc w:val="both"/>
        <w:rPr>
          <w:rFonts w:cs="Times New Roman"/>
        </w:rPr>
      </w:pPr>
      <w:r w:rsidRPr="00594140">
        <w:rPr>
          <w:rFonts w:cs="Times New Roman"/>
        </w:rPr>
        <w:t xml:space="preserve">gdzie: C-ilość punktów przyznana w kryterium Łączna cena </w:t>
      </w:r>
    </w:p>
    <w:p w14:paraId="54AC3DC6" w14:textId="77777777" w:rsidR="00594140" w:rsidRPr="00594140" w:rsidRDefault="00594140" w:rsidP="00594140">
      <w:pPr>
        <w:spacing w:line="240" w:lineRule="auto"/>
        <w:jc w:val="both"/>
        <w:rPr>
          <w:rFonts w:cs="Times New Roman"/>
        </w:rPr>
      </w:pPr>
      <w:proofErr w:type="spellStart"/>
      <w:r w:rsidRPr="00594140">
        <w:rPr>
          <w:rFonts w:cs="Times New Roman"/>
        </w:rPr>
        <w:t>Cn</w:t>
      </w:r>
      <w:proofErr w:type="spellEnd"/>
      <w:r w:rsidRPr="00594140">
        <w:rPr>
          <w:rFonts w:cs="Times New Roman"/>
        </w:rPr>
        <w:t>-cena oferty z najniższą ceną</w:t>
      </w:r>
    </w:p>
    <w:p w14:paraId="6ECAAAB8" w14:textId="77777777" w:rsidR="00594140" w:rsidRPr="00594140" w:rsidRDefault="00594140" w:rsidP="00594140">
      <w:pPr>
        <w:spacing w:line="240" w:lineRule="auto"/>
        <w:jc w:val="both"/>
        <w:rPr>
          <w:rFonts w:cs="Times New Roman"/>
        </w:rPr>
      </w:pPr>
      <w:r w:rsidRPr="00594140">
        <w:rPr>
          <w:rFonts w:cs="Times New Roman"/>
        </w:rPr>
        <w:t xml:space="preserve"> </w:t>
      </w:r>
      <w:proofErr w:type="spellStart"/>
      <w:r w:rsidRPr="00594140">
        <w:rPr>
          <w:rFonts w:cs="Times New Roman"/>
        </w:rPr>
        <w:t>Cb</w:t>
      </w:r>
      <w:proofErr w:type="spellEnd"/>
      <w:r w:rsidRPr="00594140">
        <w:rPr>
          <w:rFonts w:cs="Times New Roman"/>
        </w:rPr>
        <w:t xml:space="preserve">-cena oferty ocenianej  </w:t>
      </w:r>
    </w:p>
    <w:p w14:paraId="70045438" w14:textId="30B9F474" w:rsidR="00594140" w:rsidRPr="00594140" w:rsidRDefault="00594140" w:rsidP="00594140">
      <w:pPr>
        <w:spacing w:line="240" w:lineRule="auto"/>
        <w:jc w:val="both"/>
        <w:rPr>
          <w:rFonts w:cs="Times New Roman"/>
        </w:rPr>
      </w:pPr>
      <w:r w:rsidRPr="00594140">
        <w:rPr>
          <w:rFonts w:cs="Times New Roman"/>
        </w:rPr>
        <w:t xml:space="preserve">2) </w:t>
      </w:r>
      <w:r w:rsidRPr="00261857">
        <w:rPr>
          <w:rFonts w:cs="Times New Roman"/>
        </w:rPr>
        <w:t xml:space="preserve">Doświadczenie </w:t>
      </w:r>
      <w:r w:rsidR="00A63795">
        <w:rPr>
          <w:rFonts w:cs="Times New Roman"/>
        </w:rPr>
        <w:t>trener</w:t>
      </w:r>
      <w:r w:rsidR="002825F4">
        <w:rPr>
          <w:rFonts w:cs="Times New Roman"/>
        </w:rPr>
        <w:t>ów</w:t>
      </w:r>
      <w:r w:rsidRPr="00523049">
        <w:rPr>
          <w:rFonts w:cs="Times New Roman"/>
        </w:rPr>
        <w:t xml:space="preserve"> </w:t>
      </w:r>
      <w:r w:rsidRPr="00594140">
        <w:rPr>
          <w:rFonts w:cs="Times New Roman"/>
        </w:rPr>
        <w:t xml:space="preserve">– 60 pkt – na podstawie załączonego </w:t>
      </w:r>
      <w:r w:rsidR="008021A6">
        <w:rPr>
          <w:rFonts w:cs="Times New Roman"/>
        </w:rPr>
        <w:t>Wykazu</w:t>
      </w:r>
      <w:r w:rsidRPr="00594140">
        <w:rPr>
          <w:rFonts w:cs="Times New Roman"/>
        </w:rPr>
        <w:t xml:space="preserve"> opisującego doświadczenie </w:t>
      </w:r>
      <w:r w:rsidR="009D4C4E">
        <w:rPr>
          <w:rFonts w:cs="Times New Roman"/>
        </w:rPr>
        <w:t xml:space="preserve">trenera </w:t>
      </w:r>
      <w:r w:rsidRPr="00594140">
        <w:rPr>
          <w:rFonts w:cs="Times New Roman"/>
        </w:rPr>
        <w:t xml:space="preserve">w zakresie </w:t>
      </w:r>
      <w:r w:rsidR="009D4C4E">
        <w:rPr>
          <w:rFonts w:cs="Times New Roman"/>
        </w:rPr>
        <w:t>tematów 1-4 wskazanych w pkt 3</w:t>
      </w:r>
      <w:r w:rsidRPr="00594140">
        <w:rPr>
          <w:rFonts w:cs="Times New Roman"/>
        </w:rPr>
        <w:t xml:space="preserve">. Za każde zrealizowane </w:t>
      </w:r>
      <w:r w:rsidR="002825F4">
        <w:rPr>
          <w:rFonts w:cs="Times New Roman"/>
        </w:rPr>
        <w:t>działanie</w:t>
      </w:r>
      <w:r w:rsidRPr="00594140">
        <w:rPr>
          <w:rFonts w:cs="Times New Roman"/>
        </w:rPr>
        <w:t xml:space="preserve"> odpowiadające przedmiotowi zamówienia Zamawiający przyzna 10 pkt.</w:t>
      </w:r>
    </w:p>
    <w:p w14:paraId="61A733B6" w14:textId="72C2A828" w:rsidR="000F2AE2" w:rsidRPr="00261857" w:rsidRDefault="00594140" w:rsidP="00594140">
      <w:pPr>
        <w:spacing w:line="240" w:lineRule="auto"/>
        <w:jc w:val="both"/>
        <w:rPr>
          <w:rFonts w:cs="Times New Roman"/>
          <w:u w:val="single"/>
        </w:rPr>
      </w:pPr>
      <w:r w:rsidRPr="00261857">
        <w:rPr>
          <w:rFonts w:cs="Times New Roman"/>
          <w:u w:val="single"/>
        </w:rPr>
        <w:t>Wykonawca zobowiązany jest załączyć do oferty życiorys</w:t>
      </w:r>
      <w:r w:rsidR="002825F4">
        <w:rPr>
          <w:rFonts w:cs="Times New Roman"/>
          <w:u w:val="single"/>
        </w:rPr>
        <w:t>y</w:t>
      </w:r>
      <w:r w:rsidRPr="00261857">
        <w:rPr>
          <w:rFonts w:cs="Times New Roman"/>
          <w:u w:val="single"/>
        </w:rPr>
        <w:t xml:space="preserve"> </w:t>
      </w:r>
      <w:r w:rsidR="009D4C4E">
        <w:rPr>
          <w:rFonts w:cs="Times New Roman"/>
          <w:u w:val="single"/>
        </w:rPr>
        <w:t xml:space="preserve">trenerów </w:t>
      </w:r>
      <w:r w:rsidRPr="00261857">
        <w:rPr>
          <w:rFonts w:cs="Times New Roman"/>
          <w:u w:val="single"/>
        </w:rPr>
        <w:t>w celu oceny doświadczenia trener</w:t>
      </w:r>
      <w:r w:rsidR="002825F4">
        <w:rPr>
          <w:rFonts w:cs="Times New Roman"/>
          <w:u w:val="single"/>
        </w:rPr>
        <w:t>ów</w:t>
      </w:r>
      <w:r w:rsidRPr="00261857">
        <w:rPr>
          <w:rFonts w:cs="Times New Roman"/>
          <w:u w:val="single"/>
        </w:rPr>
        <w:t xml:space="preserve"> w ramach kryterium „Doświadczenie trenera”.</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w:t>
      </w:r>
      <w:r w:rsidRPr="00CA4E67">
        <w:rPr>
          <w:rFonts w:cs="Times New Roman"/>
        </w:rPr>
        <w:lastRenderedPageBreak/>
        <w:t xml:space="preserve">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154096F6"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3B25" w:rsidRPr="00CA4E67">
        <w:rPr>
          <w:rFonts w:cs="Times New Roman"/>
        </w:rPr>
        <w:t>6</w:t>
      </w:r>
      <w:r w:rsidRPr="00CA4E67">
        <w:rPr>
          <w:rFonts w:cs="Times New Roman"/>
        </w:rPr>
        <w:t xml:space="preserve"> do Zapytania. </w:t>
      </w:r>
      <w:r w:rsidR="00BB0D14" w:rsidRPr="007F0429">
        <w:rPr>
          <w:rFonts w:cs="Times New Roman"/>
        </w:rPr>
        <w:t>Dopuszcza się możliwość negocjacji umowy przed jej podpisaniem</w:t>
      </w:r>
      <w:r w:rsidR="00511342">
        <w:rPr>
          <w:rFonts w:cs="Times New Roman"/>
        </w:rPr>
        <w:t xml:space="preserve"> z zastrzeżeniem, że cena zaoferowana przez wykonawcę nie będzie wyższa niż cena w złożonej ofercie</w:t>
      </w:r>
      <w:r w:rsidR="00BB0D14" w:rsidRPr="007F0429">
        <w:rPr>
          <w:rFonts w:cs="Times New Roman"/>
        </w:rPr>
        <w:t>.</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72008C8A"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do ceny najkorzystniejszej </w:t>
      </w:r>
      <w:r w:rsidRPr="007F0429">
        <w:rPr>
          <w:rFonts w:cs="Times New Roman"/>
        </w:rPr>
        <w:t>oferty</w:t>
      </w:r>
      <w:r w:rsidR="00BB0D14" w:rsidRPr="007F0429">
        <w:rPr>
          <w:rFonts w:cs="Times New Roman"/>
        </w:rPr>
        <w:t xml:space="preserve"> lub jedyny oferent</w:t>
      </w:r>
      <w:r w:rsidR="00CE0ACD" w:rsidRPr="00CE0ACD">
        <w:rPr>
          <w:rFonts w:cs="Times New Roman"/>
        </w:rPr>
        <w:t xml:space="preserve"> </w:t>
      </w:r>
      <w:r w:rsidR="00CE0ACD" w:rsidRPr="007F0429">
        <w:rPr>
          <w:rFonts w:cs="Times New Roman"/>
        </w:rPr>
        <w:t xml:space="preserve">zgodzi się zrealizować zamówienie </w:t>
      </w:r>
      <w:r w:rsidR="00CE0ACD">
        <w:rPr>
          <w:rFonts w:cs="Times New Roman"/>
        </w:rPr>
        <w:t>po 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80EA94E"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specyfikacji istotnych warunków zamówienia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lastRenderedPageBreak/>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76B72452" w:rsidR="009923CC" w:rsidRDefault="006A21FA" w:rsidP="00F3501E">
      <w:pPr>
        <w:spacing w:line="240" w:lineRule="auto"/>
        <w:jc w:val="both"/>
        <w:rPr>
          <w:rFonts w:cs="Times New Roman"/>
        </w:rPr>
      </w:pPr>
      <w:r w:rsidRPr="00CA4E67">
        <w:rPr>
          <w:rFonts w:cs="Times New Roman"/>
        </w:rPr>
        <w:t>ZAŁĄCZNIKI</w:t>
      </w:r>
    </w:p>
    <w:p w14:paraId="6011ECB9" w14:textId="77777777" w:rsidR="00D82E8C" w:rsidRPr="00D82E8C" w:rsidRDefault="00D82E8C" w:rsidP="00D82E8C">
      <w:pPr>
        <w:spacing w:line="240" w:lineRule="auto"/>
        <w:jc w:val="both"/>
        <w:rPr>
          <w:rFonts w:cs="Times New Roman"/>
        </w:rPr>
      </w:pPr>
      <w:r w:rsidRPr="00D82E8C">
        <w:rPr>
          <w:rFonts w:cs="Times New Roman"/>
        </w:rPr>
        <w:t>1.</w:t>
      </w:r>
      <w:r w:rsidRPr="00D82E8C">
        <w:rPr>
          <w:rFonts w:cs="Times New Roman"/>
        </w:rPr>
        <w:tab/>
        <w:t xml:space="preserve">Formularz oferty Załącznik nr 1 </w:t>
      </w:r>
    </w:p>
    <w:p w14:paraId="2AB37051" w14:textId="77777777" w:rsidR="00D82E8C" w:rsidRPr="00D82E8C" w:rsidRDefault="00D82E8C" w:rsidP="00D82E8C">
      <w:pPr>
        <w:spacing w:line="240" w:lineRule="auto"/>
        <w:jc w:val="both"/>
        <w:rPr>
          <w:rFonts w:cs="Times New Roman"/>
        </w:rPr>
      </w:pPr>
      <w:r w:rsidRPr="00D82E8C">
        <w:rPr>
          <w:rFonts w:cs="Times New Roman"/>
        </w:rPr>
        <w:t>2.</w:t>
      </w:r>
      <w:r w:rsidRPr="00D82E8C">
        <w:rPr>
          <w:rFonts w:cs="Times New Roman"/>
        </w:rPr>
        <w:tab/>
        <w:t xml:space="preserve">Oświadczenie o nie podleganiu wykluczeniu z postępowania -  Załącznik nr 2 </w:t>
      </w:r>
    </w:p>
    <w:p w14:paraId="40E8979C" w14:textId="77777777" w:rsidR="00D82E8C" w:rsidRPr="00D82E8C" w:rsidRDefault="00D82E8C" w:rsidP="00D82E8C">
      <w:pPr>
        <w:spacing w:line="240" w:lineRule="auto"/>
        <w:jc w:val="both"/>
        <w:rPr>
          <w:rFonts w:cs="Times New Roman"/>
        </w:rPr>
      </w:pPr>
      <w:r w:rsidRPr="00D82E8C">
        <w:rPr>
          <w:rFonts w:cs="Times New Roman"/>
        </w:rPr>
        <w:t>3.</w:t>
      </w:r>
      <w:r w:rsidRPr="00D82E8C">
        <w:rPr>
          <w:rFonts w:cs="Times New Roman"/>
        </w:rPr>
        <w:tab/>
        <w:t>Oświadczenie o spełnieniu warunków udziału w postępowaniu  - Załącznik nr 3</w:t>
      </w:r>
    </w:p>
    <w:p w14:paraId="30AE40DD" w14:textId="741E2599" w:rsidR="00D82E8C" w:rsidRPr="00D82E8C" w:rsidRDefault="00D82E8C" w:rsidP="00D82E8C">
      <w:pPr>
        <w:spacing w:line="240" w:lineRule="auto"/>
        <w:jc w:val="both"/>
        <w:rPr>
          <w:rFonts w:cs="Times New Roman"/>
        </w:rPr>
      </w:pPr>
      <w:r w:rsidRPr="00D82E8C">
        <w:rPr>
          <w:rFonts w:cs="Times New Roman"/>
        </w:rPr>
        <w:t>4.</w:t>
      </w:r>
      <w:r w:rsidRPr="00D82E8C">
        <w:rPr>
          <w:rFonts w:cs="Times New Roman"/>
        </w:rPr>
        <w:tab/>
        <w:t>Wykaz usług (w zakresie niezbędnym do wykazania spełniania warunku posiadania wiedzy 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6AF95838" w14:textId="2B6AADE5" w:rsidR="00D82E8C" w:rsidRPr="00CA4E67" w:rsidRDefault="00D82E8C" w:rsidP="00D82E8C">
      <w:pPr>
        <w:spacing w:line="240" w:lineRule="auto"/>
        <w:jc w:val="both"/>
        <w:rPr>
          <w:rFonts w:cs="Times New Roman"/>
        </w:rPr>
      </w:pPr>
      <w:r w:rsidRPr="00D82E8C">
        <w:rPr>
          <w:rFonts w:cs="Times New Roman"/>
        </w:rPr>
        <w:t>5.</w:t>
      </w:r>
      <w:r w:rsidRPr="00D82E8C">
        <w:rPr>
          <w:rFonts w:cs="Times New Roman"/>
        </w:rPr>
        <w:tab/>
        <w:t xml:space="preserve"> Projekt umowy Załącznik nr </w:t>
      </w:r>
      <w:r w:rsidR="00CF70CC">
        <w:rPr>
          <w:rFonts w:cs="Times New Roman"/>
        </w:rPr>
        <w:t>5</w:t>
      </w:r>
    </w:p>
    <w:sectPr w:rsidR="00D82E8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A180" w14:textId="77777777" w:rsidR="002A1D47" w:rsidRDefault="002A1D47" w:rsidP="009923CC">
      <w:pPr>
        <w:spacing w:after="0" w:line="240" w:lineRule="auto"/>
      </w:pPr>
      <w:r>
        <w:separator/>
      </w:r>
    </w:p>
  </w:endnote>
  <w:endnote w:type="continuationSeparator" w:id="0">
    <w:p w14:paraId="1BAA295D" w14:textId="77777777" w:rsidR="002A1D47" w:rsidRDefault="002A1D47"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3B0A" w14:textId="77777777" w:rsidR="002A1D47" w:rsidRDefault="002A1D47" w:rsidP="009923CC">
      <w:pPr>
        <w:spacing w:after="0" w:line="240" w:lineRule="auto"/>
      </w:pPr>
      <w:r>
        <w:separator/>
      </w:r>
    </w:p>
  </w:footnote>
  <w:footnote w:type="continuationSeparator" w:id="0">
    <w:p w14:paraId="688024A1" w14:textId="77777777" w:rsidR="002A1D47" w:rsidRDefault="002A1D47"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22B55"/>
    <w:rsid w:val="00036645"/>
    <w:rsid w:val="000501CB"/>
    <w:rsid w:val="00077715"/>
    <w:rsid w:val="00083DA2"/>
    <w:rsid w:val="00084DEA"/>
    <w:rsid w:val="000B6392"/>
    <w:rsid w:val="000C17D2"/>
    <w:rsid w:val="000D1231"/>
    <w:rsid w:val="000D1D4E"/>
    <w:rsid w:val="000F2AE2"/>
    <w:rsid w:val="00112B0B"/>
    <w:rsid w:val="0011382F"/>
    <w:rsid w:val="001B77CC"/>
    <w:rsid w:val="001D6323"/>
    <w:rsid w:val="001F1970"/>
    <w:rsid w:val="00201AF7"/>
    <w:rsid w:val="00214E01"/>
    <w:rsid w:val="00221BCC"/>
    <w:rsid w:val="00243EBE"/>
    <w:rsid w:val="00261857"/>
    <w:rsid w:val="0026241A"/>
    <w:rsid w:val="002666AD"/>
    <w:rsid w:val="002822DD"/>
    <w:rsid w:val="002825F4"/>
    <w:rsid w:val="00285044"/>
    <w:rsid w:val="002A1D47"/>
    <w:rsid w:val="002A4933"/>
    <w:rsid w:val="002A5E7A"/>
    <w:rsid w:val="002F0380"/>
    <w:rsid w:val="002F5BC8"/>
    <w:rsid w:val="00334212"/>
    <w:rsid w:val="003355DB"/>
    <w:rsid w:val="00345CAF"/>
    <w:rsid w:val="003755B5"/>
    <w:rsid w:val="003941E2"/>
    <w:rsid w:val="00397271"/>
    <w:rsid w:val="003D6169"/>
    <w:rsid w:val="003E1BCE"/>
    <w:rsid w:val="00410AA5"/>
    <w:rsid w:val="0043709A"/>
    <w:rsid w:val="004378F8"/>
    <w:rsid w:val="0045330A"/>
    <w:rsid w:val="00470C1E"/>
    <w:rsid w:val="0048336F"/>
    <w:rsid w:val="00492DB1"/>
    <w:rsid w:val="004B3B25"/>
    <w:rsid w:val="004D3019"/>
    <w:rsid w:val="004E77B6"/>
    <w:rsid w:val="004F3FAE"/>
    <w:rsid w:val="00511342"/>
    <w:rsid w:val="00522767"/>
    <w:rsid w:val="00523049"/>
    <w:rsid w:val="005357B1"/>
    <w:rsid w:val="005436DF"/>
    <w:rsid w:val="00545FC4"/>
    <w:rsid w:val="0058767C"/>
    <w:rsid w:val="00594140"/>
    <w:rsid w:val="005A2CE9"/>
    <w:rsid w:val="005A4160"/>
    <w:rsid w:val="005C459C"/>
    <w:rsid w:val="005F1ACB"/>
    <w:rsid w:val="00606354"/>
    <w:rsid w:val="00610380"/>
    <w:rsid w:val="006232DF"/>
    <w:rsid w:val="006331C7"/>
    <w:rsid w:val="00633A7B"/>
    <w:rsid w:val="0063580F"/>
    <w:rsid w:val="0063667E"/>
    <w:rsid w:val="006A21FA"/>
    <w:rsid w:val="006B1C46"/>
    <w:rsid w:val="006B6517"/>
    <w:rsid w:val="006E1FE2"/>
    <w:rsid w:val="007001F9"/>
    <w:rsid w:val="007034BF"/>
    <w:rsid w:val="007121BC"/>
    <w:rsid w:val="00724608"/>
    <w:rsid w:val="00732B6F"/>
    <w:rsid w:val="0075079E"/>
    <w:rsid w:val="00776FD3"/>
    <w:rsid w:val="00780B2F"/>
    <w:rsid w:val="00793F11"/>
    <w:rsid w:val="007C3B7F"/>
    <w:rsid w:val="007F0429"/>
    <w:rsid w:val="008021A6"/>
    <w:rsid w:val="008041CE"/>
    <w:rsid w:val="008545FC"/>
    <w:rsid w:val="00865C40"/>
    <w:rsid w:val="00876249"/>
    <w:rsid w:val="00880BF8"/>
    <w:rsid w:val="00880FCB"/>
    <w:rsid w:val="00891799"/>
    <w:rsid w:val="008D5ED6"/>
    <w:rsid w:val="008E19C8"/>
    <w:rsid w:val="009368EF"/>
    <w:rsid w:val="009433AF"/>
    <w:rsid w:val="00954AA5"/>
    <w:rsid w:val="009908F9"/>
    <w:rsid w:val="009923CC"/>
    <w:rsid w:val="009A011D"/>
    <w:rsid w:val="009B0385"/>
    <w:rsid w:val="009B17B1"/>
    <w:rsid w:val="009B462C"/>
    <w:rsid w:val="009C7EAE"/>
    <w:rsid w:val="009D4C4E"/>
    <w:rsid w:val="009E715B"/>
    <w:rsid w:val="009F3B60"/>
    <w:rsid w:val="00A15104"/>
    <w:rsid w:val="00A170B0"/>
    <w:rsid w:val="00A5350F"/>
    <w:rsid w:val="00A63795"/>
    <w:rsid w:val="00A7094A"/>
    <w:rsid w:val="00AD2F51"/>
    <w:rsid w:val="00AF0FBE"/>
    <w:rsid w:val="00B21D00"/>
    <w:rsid w:val="00B45D7C"/>
    <w:rsid w:val="00B56C05"/>
    <w:rsid w:val="00B90808"/>
    <w:rsid w:val="00BB0D14"/>
    <w:rsid w:val="00BB1E85"/>
    <w:rsid w:val="00BC2E7D"/>
    <w:rsid w:val="00BC3979"/>
    <w:rsid w:val="00BE225A"/>
    <w:rsid w:val="00BE740B"/>
    <w:rsid w:val="00BF3D77"/>
    <w:rsid w:val="00C02EFD"/>
    <w:rsid w:val="00C248E1"/>
    <w:rsid w:val="00C76EFE"/>
    <w:rsid w:val="00CA44E7"/>
    <w:rsid w:val="00CA4E67"/>
    <w:rsid w:val="00CB6685"/>
    <w:rsid w:val="00CE0ACD"/>
    <w:rsid w:val="00CF70CC"/>
    <w:rsid w:val="00D00C4E"/>
    <w:rsid w:val="00D1352C"/>
    <w:rsid w:val="00D14513"/>
    <w:rsid w:val="00D253C3"/>
    <w:rsid w:val="00D343D0"/>
    <w:rsid w:val="00D35776"/>
    <w:rsid w:val="00D46B91"/>
    <w:rsid w:val="00D54445"/>
    <w:rsid w:val="00D720D5"/>
    <w:rsid w:val="00D82E8C"/>
    <w:rsid w:val="00DC5A83"/>
    <w:rsid w:val="00DF68EE"/>
    <w:rsid w:val="00E12A3A"/>
    <w:rsid w:val="00E13EFB"/>
    <w:rsid w:val="00E31267"/>
    <w:rsid w:val="00E4038E"/>
    <w:rsid w:val="00E44881"/>
    <w:rsid w:val="00E566F8"/>
    <w:rsid w:val="00E56E27"/>
    <w:rsid w:val="00E73AE2"/>
    <w:rsid w:val="00E86FCE"/>
    <w:rsid w:val="00ED2873"/>
    <w:rsid w:val="00F12406"/>
    <w:rsid w:val="00F3292B"/>
    <w:rsid w:val="00F3501E"/>
    <w:rsid w:val="00F42F7E"/>
    <w:rsid w:val="00F4782C"/>
    <w:rsid w:val="00F61271"/>
    <w:rsid w:val="00F730A9"/>
    <w:rsid w:val="00F85E33"/>
    <w:rsid w:val="00FA6F73"/>
    <w:rsid w:val="00FB34B0"/>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AD04D7D8-8961-4C7F-B09D-A24BA7E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 w:type="paragraph" w:styleId="Poprawka">
    <w:name w:val="Revision"/>
    <w:hidden/>
    <w:uiPriority w:val="99"/>
    <w:semiHidden/>
    <w:rsid w:val="003D6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5191</Words>
  <Characters>31149</Characters>
  <Application>Microsoft Office Word</Application>
  <DocSecurity>0</DocSecurity>
  <Lines>259</Lines>
  <Paragraphs>72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Patryk</cp:lastModifiedBy>
  <cp:revision>48</cp:revision>
  <dcterms:created xsi:type="dcterms:W3CDTF">2018-11-29T20:09:00Z</dcterms:created>
  <dcterms:modified xsi:type="dcterms:W3CDTF">2019-04-02T09:15:00Z</dcterms:modified>
</cp:coreProperties>
</file>