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56E2DF65"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243EBE">
        <w:rPr>
          <w:rFonts w:cs="Times New Roman"/>
          <w:b/>
          <w:sz w:val="28"/>
          <w:szCs w:val="28"/>
        </w:rPr>
        <w:t>5</w:t>
      </w:r>
      <w:r w:rsidR="00E73AE2" w:rsidRPr="00CA4E67">
        <w:rPr>
          <w:rFonts w:cs="Times New Roman"/>
          <w:b/>
          <w:sz w:val="28"/>
          <w:szCs w:val="28"/>
        </w:rPr>
        <w:t>/2018</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0C508C5" w14:textId="0511B4DA" w:rsidR="009923CC" w:rsidRDefault="009923CC" w:rsidP="006A21FA">
      <w:pPr>
        <w:spacing w:line="240" w:lineRule="auto"/>
        <w:jc w:val="both"/>
        <w:rPr>
          <w:rFonts w:cs="Times New Roman"/>
          <w:b/>
        </w:rPr>
      </w:pPr>
      <w:r w:rsidRPr="00CA4E67">
        <w:rPr>
          <w:rFonts w:cs="Times New Roman"/>
          <w:b/>
        </w:rPr>
        <w:t>3. Opis przedmiotu zamówienia.</w:t>
      </w:r>
    </w:p>
    <w:p w14:paraId="758D04E4" w14:textId="05BA199C" w:rsidR="00594140" w:rsidRPr="00594140" w:rsidRDefault="00594140" w:rsidP="00594140">
      <w:pPr>
        <w:spacing w:line="240" w:lineRule="auto"/>
        <w:jc w:val="both"/>
        <w:rPr>
          <w:rFonts w:cs="Times New Roman"/>
        </w:rPr>
      </w:pPr>
      <w:r w:rsidRPr="00594140">
        <w:rPr>
          <w:rFonts w:cs="Times New Roman"/>
        </w:rPr>
        <w:t>Przeprowadzenie szkoleń. Do</w:t>
      </w:r>
      <w:r>
        <w:rPr>
          <w:rFonts w:cs="Times New Roman"/>
        </w:rPr>
        <w:t xml:space="preserve"> </w:t>
      </w:r>
      <w:r w:rsidRPr="00594140">
        <w:rPr>
          <w:rFonts w:cs="Times New Roman"/>
        </w:rPr>
        <w:t>obowiązków Wykonawcy będzie należało również opracowanie materiałów szkoleniowych</w:t>
      </w:r>
      <w:r>
        <w:rPr>
          <w:rFonts w:cs="Times New Roman"/>
        </w:rPr>
        <w:t xml:space="preserve"> i</w:t>
      </w:r>
      <w:r w:rsidRPr="00594140">
        <w:rPr>
          <w:rFonts w:cs="Times New Roman"/>
        </w:rPr>
        <w:t xml:space="preserve"> przygotowanie prezentacji multimedialnej.</w:t>
      </w:r>
    </w:p>
    <w:p w14:paraId="3E019BCF" w14:textId="77777777" w:rsidR="00594140" w:rsidRPr="00594140" w:rsidRDefault="00594140" w:rsidP="00594140">
      <w:pPr>
        <w:spacing w:line="240" w:lineRule="auto"/>
        <w:jc w:val="both"/>
        <w:rPr>
          <w:rFonts w:cs="Times New Roman"/>
        </w:rPr>
      </w:pPr>
      <w:r w:rsidRPr="00594140">
        <w:rPr>
          <w:rFonts w:cs="Times New Roman"/>
        </w:rPr>
        <w:t>Prelegent do przepracowania ma 8 godzin dziennie. W terminie od 14 – 16 grudnia 2018 r. będzie pracował 24 godziny. Miejscem realizacji zamówienia będzie Województwo Mazowieckie.</w:t>
      </w:r>
    </w:p>
    <w:p w14:paraId="5EC32D23" w14:textId="77777777" w:rsidR="00594140" w:rsidRPr="00594140" w:rsidRDefault="00594140" w:rsidP="00594140">
      <w:pPr>
        <w:spacing w:line="240" w:lineRule="auto"/>
        <w:jc w:val="both"/>
        <w:rPr>
          <w:rFonts w:cs="Times New Roman"/>
        </w:rPr>
      </w:pPr>
      <w:r w:rsidRPr="00594140">
        <w:rPr>
          <w:rFonts w:cs="Times New Roman"/>
        </w:rPr>
        <w:t>Szkolenia dotyczyć ma następującego zakresu:</w:t>
      </w:r>
    </w:p>
    <w:p w14:paraId="00A788DC" w14:textId="77777777" w:rsidR="00594140" w:rsidRPr="00594140" w:rsidRDefault="00594140" w:rsidP="00594140">
      <w:pPr>
        <w:spacing w:line="240" w:lineRule="auto"/>
        <w:jc w:val="both"/>
        <w:rPr>
          <w:rFonts w:cs="Times New Roman"/>
        </w:rPr>
      </w:pPr>
      <w:r w:rsidRPr="00594140">
        <w:rPr>
          <w:rFonts w:cs="Times New Roman"/>
        </w:rPr>
        <w:t xml:space="preserve">1. Temat - Rola Lidera w upowszechnianiu wiedzy i informacji nt. ochrony środowiska. </w:t>
      </w:r>
    </w:p>
    <w:p w14:paraId="363A1E0A"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Role lidera w codziennej praktyce </w:t>
      </w:r>
    </w:p>
    <w:p w14:paraId="6E9F2F5C"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Osobowość lidera. Co wpływa na nasze zachowania przywódcze?</w:t>
      </w:r>
    </w:p>
    <w:p w14:paraId="6BE8DDE5"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Przywództwo, a budowanie wartości społecznych/regionalnych walorów ekologicznych</w:t>
      </w:r>
    </w:p>
    <w:p w14:paraId="5F959599" w14:textId="77777777" w:rsidR="00594140" w:rsidRPr="00594140" w:rsidRDefault="00594140" w:rsidP="00594140">
      <w:pPr>
        <w:spacing w:line="240" w:lineRule="auto"/>
        <w:jc w:val="both"/>
        <w:rPr>
          <w:rFonts w:cs="Times New Roman"/>
        </w:rPr>
      </w:pPr>
      <w:r w:rsidRPr="00594140">
        <w:rPr>
          <w:rFonts w:cs="Times New Roman"/>
        </w:rPr>
        <w:lastRenderedPageBreak/>
        <w:t>•</w:t>
      </w:r>
      <w:r w:rsidRPr="00594140">
        <w:rPr>
          <w:rFonts w:cs="Times New Roman"/>
        </w:rPr>
        <w:tab/>
        <w:t>Czym się różni przywództwo od zarządzania?</w:t>
      </w:r>
    </w:p>
    <w:p w14:paraId="0898EEB8"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Różne role lidera, czyli praktyka jednoczesnego wypełniania funkcji przywódczych i zarządczych</w:t>
      </w:r>
    </w:p>
    <w:p w14:paraId="6E0ABE0A"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5 zadań lidera społeczności lokalnej – kod skuteczność przywódczej</w:t>
      </w:r>
    </w:p>
    <w:p w14:paraId="2D29847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Jak działać skutecznie w praktyce?</w:t>
      </w:r>
    </w:p>
    <w:p w14:paraId="2CCC76D1"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Style przywódcze i ich zastosowanie</w:t>
      </w:r>
    </w:p>
    <w:p w14:paraId="3AF70DB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Analiza własnego stylu przywódczego</w:t>
      </w:r>
    </w:p>
    <w:p w14:paraId="32D6CF06"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Nowe wyzwania liderów społecznych w projektach Ekologicznych</w:t>
      </w:r>
    </w:p>
    <w:p w14:paraId="75D0D7F7" w14:textId="77777777" w:rsidR="00594140" w:rsidRPr="00594140" w:rsidRDefault="00594140" w:rsidP="00594140">
      <w:pPr>
        <w:spacing w:line="240" w:lineRule="auto"/>
        <w:jc w:val="both"/>
        <w:rPr>
          <w:rFonts w:cs="Times New Roman"/>
        </w:rPr>
      </w:pPr>
      <w:r w:rsidRPr="00594140">
        <w:rPr>
          <w:rFonts w:cs="Times New Roman"/>
        </w:rPr>
        <w:t>2. Temat: Komunikacja interpersonalna w procesie formułowania pozytywnego przekazu projektów społecznych i ekologicznych.</w:t>
      </w:r>
    </w:p>
    <w:p w14:paraId="67FA272C"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Łańcuch SEP: Społeczeństwo – Ekologia-  Profit </w:t>
      </w:r>
    </w:p>
    <w:p w14:paraId="02BDBA59"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SEP- Łańcuch powiązań między społecznością lokalną, postawą ekologiczną a profitem. </w:t>
      </w:r>
    </w:p>
    <w:p w14:paraId="43A2A95F"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Związki pomiędzy zadowoleniem społeczności lokalnej, lojalnością, swobodą działania a powodzeniem przedsięwzięcia  i organizacji regionu.</w:t>
      </w:r>
    </w:p>
    <w:p w14:paraId="52486E77"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       Komunikacja – Przegląd technik</w:t>
      </w:r>
    </w:p>
    <w:p w14:paraId="3FC2AA9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Zasady prowadzenia produktywnego dialogu społecznego</w:t>
      </w:r>
    </w:p>
    <w:p w14:paraId="2A182BA4"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Typologia osobowości - typ osobowości społecznej metodologia Extended Disc</w:t>
      </w:r>
    </w:p>
    <w:p w14:paraId="7C4F0DEA"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Jak myślą ludzie – ochrona środowiska warto się zaangażować czy lekceważyć </w:t>
      </w:r>
    </w:p>
    <w:p w14:paraId="7FD5B3F4"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Savoir-vivre w kontaktach społecznych</w:t>
      </w:r>
    </w:p>
    <w:p w14:paraId="446591D9"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Trudne rozmowy – jak zarządzać obiekcjami związanymi z inicjatywami ekologicznymi?</w:t>
      </w:r>
    </w:p>
    <w:p w14:paraId="07991591"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Od złej komunikacji do złych decyzji - typologia problemów i błędów - jak je rozpoznawać i eliminować?</w:t>
      </w:r>
    </w:p>
    <w:p w14:paraId="16DD0617"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Zasada pierwszego wrażenia vs przyszłość w pracy z zespołem/społecznością</w:t>
      </w:r>
    </w:p>
    <w:p w14:paraId="383F4C7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Techniki świadomego posługiwania się ośrodkami komunikacji w procesie uświadamiania potrzeby ochrony środowiska</w:t>
      </w:r>
    </w:p>
    <w:p w14:paraId="6F6630B9"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Komunikacja werbalna, dlaczego słowo waży tak mało, ale mimo wszystko jest bardzo ważne w procesie komunikacji</w:t>
      </w:r>
    </w:p>
    <w:p w14:paraId="3E6816D4" w14:textId="77777777" w:rsidR="00594140" w:rsidRPr="00594140" w:rsidRDefault="00594140" w:rsidP="00594140">
      <w:pPr>
        <w:spacing w:line="240" w:lineRule="auto"/>
        <w:jc w:val="both"/>
        <w:rPr>
          <w:rFonts w:cs="Times New Roman"/>
        </w:rPr>
      </w:pPr>
      <w:r w:rsidRPr="00594140">
        <w:rPr>
          <w:rFonts w:cs="Times New Roman"/>
        </w:rPr>
        <w:t>3. Temat: Doskonały Plan – „Planowanie” strategii społecznej w kontekście podniesienia świadomości ekologicznej i aktywizacji działań na rzecz zrównoważonego rozwoju na przykładzie Puszczy Białowieskiej</w:t>
      </w:r>
    </w:p>
    <w:p w14:paraId="3A4092F7"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Rola i znaczenie zarządzania strategicznego w nowoczesnej społeczności lokalnej</w:t>
      </w:r>
    </w:p>
    <w:p w14:paraId="5A52E04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Jak powstają wygrywające strategie: krok po kroku – opis procesu</w:t>
      </w:r>
    </w:p>
    <w:p w14:paraId="3873CA42"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Konkurowanie w warunkach dużej zmienności oczekiwań społecznych</w:t>
      </w:r>
    </w:p>
    <w:p w14:paraId="4D23091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Od wizji do strategii i z powrotem</w:t>
      </w:r>
    </w:p>
    <w:p w14:paraId="54216DC8"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Natura 2000 jako przykład; kreowanie oferty wartości dla społeczności lokalnej </w:t>
      </w:r>
    </w:p>
    <w:p w14:paraId="217D801A"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Organizacja procesu formułowania strategii</w:t>
      </w:r>
    </w:p>
    <w:p w14:paraId="66A8353E" w14:textId="77777777" w:rsidR="00594140" w:rsidRPr="00594140" w:rsidRDefault="00594140" w:rsidP="00594140">
      <w:pPr>
        <w:spacing w:line="240" w:lineRule="auto"/>
        <w:jc w:val="both"/>
        <w:rPr>
          <w:rFonts w:cs="Times New Roman"/>
        </w:rPr>
      </w:pPr>
      <w:r w:rsidRPr="00594140">
        <w:rPr>
          <w:rFonts w:cs="Times New Roman"/>
        </w:rPr>
        <w:lastRenderedPageBreak/>
        <w:t>•</w:t>
      </w:r>
      <w:r w:rsidRPr="00594140">
        <w:rPr>
          <w:rFonts w:cs="Times New Roman"/>
        </w:rPr>
        <w:tab/>
        <w:t>Narzędzia diagnozy sytuacji strategicznej</w:t>
      </w:r>
    </w:p>
    <w:p w14:paraId="5E0F7685" w14:textId="77777777" w:rsidR="00594140" w:rsidRPr="00594140" w:rsidRDefault="00594140" w:rsidP="00594140">
      <w:pPr>
        <w:spacing w:line="240" w:lineRule="auto"/>
        <w:jc w:val="both"/>
        <w:rPr>
          <w:rFonts w:cs="Times New Roman"/>
        </w:rPr>
      </w:pPr>
      <w:r w:rsidRPr="00594140">
        <w:rPr>
          <w:rFonts w:cs="Times New Roman"/>
        </w:rPr>
        <w:t>4. Temat: Zarządzanie zmianą, czyli wdrażanie strategii projektów społecznych i ekologicznych.</w:t>
      </w:r>
    </w:p>
    <w:p w14:paraId="1242B4D8"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Skuteczne i efektywne wdrażanie strategii - Od strategicznych wyborów do skutecznej implementacji</w:t>
      </w:r>
    </w:p>
    <w:p w14:paraId="242084DB"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Podstawy efektywnego wdrażania strategii projektów społecznych i ekologicznych – problemy i rozwiązania w wdrażaniu strategii </w:t>
      </w:r>
    </w:p>
    <w:p w14:paraId="0E959CDA"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Strategiczna karta wyników projektu - jako system zarządzania strategią</w:t>
      </w:r>
    </w:p>
    <w:p w14:paraId="1CAF2220"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Proces i narzędzia zarządzania zmianą </w:t>
      </w:r>
    </w:p>
    <w:p w14:paraId="05BCF1AE"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Zarządzanie zmianą w praktyce</w:t>
      </w:r>
    </w:p>
    <w:p w14:paraId="3C9061B3" w14:textId="3068EE63"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 xml:space="preserve">Rola i funkcje Lidera . </w:t>
      </w:r>
    </w:p>
    <w:p w14:paraId="0A00E06E" w14:textId="651ECEAB"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Postawa  Lider</w:t>
      </w:r>
    </w:p>
    <w:p w14:paraId="5EAE8B9D"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Komunikacja i wsparcie w procesie realizacji zmiany</w:t>
      </w:r>
    </w:p>
    <w:p w14:paraId="692EF3F4" w14:textId="77777777"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„Twarde i miękkie”  techniki zarządzania zmianą</w:t>
      </w:r>
    </w:p>
    <w:p w14:paraId="1353CA9E" w14:textId="4951C363" w:rsidR="00594140" w:rsidRPr="00594140" w:rsidRDefault="00594140" w:rsidP="00594140">
      <w:pPr>
        <w:spacing w:line="240" w:lineRule="auto"/>
        <w:jc w:val="both"/>
        <w:rPr>
          <w:rFonts w:cs="Times New Roman"/>
        </w:rPr>
      </w:pPr>
      <w:r w:rsidRPr="00594140">
        <w:rPr>
          <w:rFonts w:cs="Times New Roman"/>
        </w:rPr>
        <w:t>•</w:t>
      </w:r>
      <w:r w:rsidRPr="00594140">
        <w:rPr>
          <w:rFonts w:cs="Times New Roman"/>
        </w:rPr>
        <w:tab/>
        <w:t>Ocena efektywności procesu zarządzania zmianą</w:t>
      </w:r>
    </w:p>
    <w:p w14:paraId="7BC77186" w14:textId="52895BCA" w:rsidR="00E12A3A" w:rsidRPr="00CA4E67" w:rsidRDefault="003941E2" w:rsidP="006A21FA">
      <w:pPr>
        <w:spacing w:line="240" w:lineRule="auto"/>
        <w:jc w:val="both"/>
        <w:rPr>
          <w:rFonts w:cs="Times New Roman"/>
          <w:b/>
        </w:rPr>
      </w:pPr>
      <w:r w:rsidRPr="00CA4E67">
        <w:rPr>
          <w:rFonts w:cs="Times New Roman"/>
          <w:b/>
        </w:rPr>
        <w:t>4. Termin wykonania zamówienia.</w:t>
      </w:r>
    </w:p>
    <w:p w14:paraId="4F668462" w14:textId="0D81ED47" w:rsidR="000C17D2" w:rsidRPr="00201AF7" w:rsidRDefault="003941E2" w:rsidP="00077715">
      <w:pPr>
        <w:spacing w:line="240" w:lineRule="auto"/>
        <w:jc w:val="both"/>
        <w:rPr>
          <w:rFonts w:cs="Times New Roman"/>
        </w:rPr>
      </w:pPr>
      <w:r w:rsidRPr="00CA4E67">
        <w:rPr>
          <w:rFonts w:cs="Times New Roman"/>
        </w:rPr>
        <w:t xml:space="preserve">od </w:t>
      </w:r>
      <w:r w:rsidR="00633A7B">
        <w:rPr>
          <w:rFonts w:cs="Times New Roman"/>
        </w:rPr>
        <w:t xml:space="preserve">14 </w:t>
      </w:r>
      <w:r w:rsidR="00780B2F">
        <w:rPr>
          <w:rFonts w:cs="Times New Roman"/>
        </w:rPr>
        <w:t>do</w:t>
      </w:r>
      <w:r w:rsidR="00633A7B">
        <w:rPr>
          <w:rFonts w:cs="Times New Roman"/>
        </w:rPr>
        <w:t xml:space="preserve"> 16</w:t>
      </w:r>
      <w:r w:rsidRPr="00CA4E67">
        <w:rPr>
          <w:rFonts w:cs="Times New Roman"/>
        </w:rPr>
        <w:t xml:space="preserve"> </w:t>
      </w:r>
      <w:r w:rsidR="00A170B0">
        <w:rPr>
          <w:rFonts w:cs="Times New Roman"/>
        </w:rPr>
        <w:t>grudnia</w:t>
      </w:r>
      <w:r w:rsidRPr="00CA4E67">
        <w:rPr>
          <w:rFonts w:cs="Times New Roman"/>
        </w:rPr>
        <w:t xml:space="preserve"> 2018 r.</w:t>
      </w:r>
    </w:p>
    <w:p w14:paraId="461DD86F" w14:textId="7F792287" w:rsidR="000C17D2" w:rsidRPr="00CA4E67" w:rsidRDefault="000C17D2" w:rsidP="006A21FA">
      <w:pPr>
        <w:spacing w:line="240" w:lineRule="auto"/>
        <w:jc w:val="both"/>
        <w:rPr>
          <w:rFonts w:cs="Times New Roman"/>
          <w:b/>
        </w:rPr>
      </w:pPr>
      <w:r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6AB7A682"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w:t>
      </w:r>
      <w:r w:rsidR="00243EBE" w:rsidRPr="00243EBE">
        <w:rPr>
          <w:rFonts w:cs="Times New Roman"/>
        </w:rPr>
        <w:t>którego przedmiotem było przeprowadzenie szkoleń z powyższej określonej tematy</w:t>
      </w:r>
      <w:r w:rsidR="00243EBE">
        <w:rPr>
          <w:rFonts w:cs="Times New Roman"/>
        </w:rPr>
        <w:t>ki.</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lastRenderedPageBreak/>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005BE9F5" w14:textId="65289A0B" w:rsidR="00BE225A" w:rsidRPr="00CA4E67" w:rsidRDefault="00BE225A" w:rsidP="006A21FA">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70310F0A" w14:textId="235AE094" w:rsidR="005A4160" w:rsidRDefault="00776FD3" w:rsidP="006A21FA">
      <w:pPr>
        <w:spacing w:line="240" w:lineRule="auto"/>
        <w:jc w:val="both"/>
        <w:rPr>
          <w:rFonts w:cs="Times New Roman"/>
        </w:rPr>
      </w:pPr>
      <w:r>
        <w:rPr>
          <w:rFonts w:cs="Times New Roman"/>
        </w:rPr>
        <w:t>4</w:t>
      </w:r>
      <w:r w:rsidR="00BE225A" w:rsidRPr="00776FD3">
        <w:rPr>
          <w:rFonts w:cs="Times New Roman"/>
        </w:rPr>
        <w:t>.</w:t>
      </w:r>
      <w:r>
        <w:rPr>
          <w:rFonts w:cs="Times New Roman"/>
        </w:rPr>
        <w:t xml:space="preserve"> </w:t>
      </w:r>
      <w:r w:rsidR="005A4160" w:rsidRPr="00776FD3">
        <w:rPr>
          <w:rFonts w:cs="Times New Roman"/>
        </w:rPr>
        <w:t>W przypadku</w:t>
      </w:r>
      <w:r w:rsidR="005A4160" w:rsidRPr="00CA4E67">
        <w:rPr>
          <w:rFonts w:cs="Times New Roman"/>
        </w:rPr>
        <w:t xml:space="preserve"> </w:t>
      </w:r>
      <w:r w:rsidR="00BE225A" w:rsidRPr="00CA4E67">
        <w:rPr>
          <w:rFonts w:cs="Times New Roman"/>
        </w:rPr>
        <w:t xml:space="preserve">wykonawców polegających na zasobach podmiotów trzecich: </w:t>
      </w:r>
    </w:p>
    <w:p w14:paraId="37576346" w14:textId="38B6D637" w:rsidR="00BE225A" w:rsidRPr="00CA4E67" w:rsidRDefault="00BE225A" w:rsidP="006A21FA">
      <w:pPr>
        <w:spacing w:line="240" w:lineRule="auto"/>
        <w:jc w:val="both"/>
        <w:rPr>
          <w:rFonts w:cs="Times New Roman"/>
        </w:rPr>
      </w:pPr>
      <w:r w:rsidRPr="00CA4E67">
        <w:rPr>
          <w:rFonts w:cs="Times New Roman"/>
        </w:rPr>
        <w:t>1) Wykonawca może w celu potwierdzenia spełniania warunków udziału w postępowaniu wskazanych w</w:t>
      </w:r>
      <w:r w:rsidR="005357B1">
        <w:rPr>
          <w:rFonts w:cs="Times New Roman"/>
        </w:rPr>
        <w:t xml:space="preserve"> </w:t>
      </w:r>
      <w:r w:rsidR="005357B1" w:rsidRPr="00CB6685">
        <w:rPr>
          <w:rFonts w:cs="Times New Roman"/>
        </w:rPr>
        <w:t>punkcie 6</w:t>
      </w:r>
      <w:r w:rsidRPr="00CB6685">
        <w:rPr>
          <w:rFonts w:cs="Times New Roman"/>
        </w:rPr>
        <w:t xml:space="preserve"> </w:t>
      </w:r>
      <w:r w:rsidRPr="00CA4E67">
        <w:rPr>
          <w:rFonts w:cs="Times New Roman"/>
        </w:rPr>
        <w:t xml:space="preserve">ust. 1 pkt 2), polegać na zdolnościach zawodowych lub sytuacji finansowej lub ekonomicznej innych podmiotów, niezależnie od charakteru prawnego łączących go z nim stosunków prawnych. </w:t>
      </w:r>
    </w:p>
    <w:p w14:paraId="3F185443" w14:textId="51A2922E" w:rsidR="00BE225A" w:rsidRPr="00CA4E67" w:rsidRDefault="00BE225A" w:rsidP="006A21FA">
      <w:pPr>
        <w:spacing w:line="240" w:lineRule="auto"/>
        <w:jc w:val="both"/>
        <w:rPr>
          <w:rFonts w:cs="Times New Roman"/>
        </w:rPr>
      </w:pPr>
      <w:r w:rsidRPr="00CA4E67">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6010B60" w14:textId="64CECE64" w:rsidR="00BE225A" w:rsidRPr="00CA4E67" w:rsidRDefault="00BE225A" w:rsidP="006A21FA">
      <w:pPr>
        <w:spacing w:line="240" w:lineRule="auto"/>
        <w:jc w:val="both"/>
        <w:rPr>
          <w:rFonts w:cs="Times New Roman"/>
        </w:rPr>
      </w:pPr>
      <w:r w:rsidRPr="00CA4E67">
        <w:rPr>
          <w:rFonts w:cs="Times New Roman"/>
        </w:rPr>
        <w:t>3) Zamawiający ocenia, czy udostępniane wykonawcy przez inne podmioty zdolności zawodowe, pozwalają na wykazanie przez wykonawcę spełniania warunków udziału w postępowaniu.</w:t>
      </w:r>
    </w:p>
    <w:p w14:paraId="2B48424F" w14:textId="445CBE3F" w:rsidR="00BE225A" w:rsidRPr="00CA4E67" w:rsidRDefault="00BE225A" w:rsidP="006A21FA">
      <w:pPr>
        <w:spacing w:line="240" w:lineRule="auto"/>
        <w:jc w:val="both"/>
        <w:rPr>
          <w:rFonts w:cs="Times New Roman"/>
        </w:rPr>
      </w:pPr>
      <w:r w:rsidRPr="00CA4E67">
        <w:rPr>
          <w:rFonts w:cs="Times New Roman"/>
        </w:rPr>
        <w:t xml:space="preserve">4) W odniesieniu do warunków dotyczących doświadczenia, wykonawcy mogą polegać na zdolnościach innych podmiotów, jeśli podmioty te zrealizują usługi, do realizacji których te zdolności są wymagane. </w:t>
      </w:r>
    </w:p>
    <w:p w14:paraId="2ABE7AB6" w14:textId="77777777" w:rsidR="00BE225A" w:rsidRPr="00CA4E67" w:rsidRDefault="00BE225A" w:rsidP="006A21FA">
      <w:pPr>
        <w:spacing w:line="240" w:lineRule="auto"/>
        <w:jc w:val="both"/>
        <w:rPr>
          <w:rFonts w:cs="Times New Roman"/>
        </w:rPr>
      </w:pPr>
      <w:r w:rsidRPr="00CA4E67">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7ACFAD1A" w14:textId="34FB4377" w:rsidR="00BE225A" w:rsidRPr="00CA4E67" w:rsidRDefault="00BE225A" w:rsidP="006A21FA">
      <w:pPr>
        <w:spacing w:line="240" w:lineRule="auto"/>
        <w:jc w:val="both"/>
        <w:rPr>
          <w:rFonts w:cs="Times New Roman"/>
        </w:rPr>
      </w:pPr>
      <w:r w:rsidRPr="00CA4E67">
        <w:rPr>
          <w:rFonts w:cs="Times New Roman"/>
        </w:rPr>
        <w:t xml:space="preserve">a) zastąpi ten podmiot innym podmiotem lub podmiotami lub </w:t>
      </w:r>
    </w:p>
    <w:p w14:paraId="784BFA9C" w14:textId="63FD914D" w:rsidR="00BE225A" w:rsidRPr="00CA4E67" w:rsidRDefault="002F0380" w:rsidP="006A21FA">
      <w:pPr>
        <w:spacing w:line="240" w:lineRule="auto"/>
        <w:jc w:val="both"/>
        <w:rPr>
          <w:rFonts w:cs="Times New Roman"/>
        </w:rPr>
      </w:pPr>
      <w:r w:rsidRPr="00CA4E67">
        <w:rPr>
          <w:rFonts w:cs="Times New Roman"/>
        </w:rPr>
        <w:t xml:space="preserve">b) zobowiązał się do osobistego wykonania odpowiedniej części zamówienia, jeżeli wykaże zdolności zawodowe, o których mowa w ust. 1 pkt 2).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7F295C60" w:rsidR="000501CB" w:rsidRPr="00CB6685" w:rsidRDefault="002F0380" w:rsidP="006A21FA">
      <w:pPr>
        <w:spacing w:line="240" w:lineRule="auto"/>
        <w:jc w:val="both"/>
        <w:rPr>
          <w:rFonts w:cs="Times New Roman"/>
          <w:color w:val="FF0000"/>
        </w:rPr>
      </w:pPr>
      <w:r w:rsidRPr="00CA4E67">
        <w:rPr>
          <w:rFonts w:cs="Times New Roman"/>
        </w:rPr>
        <w:lastRenderedPageBreak/>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42EA50B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oraz lista albo informacja, o której mowa  w  ust. 1 pkt </w:t>
      </w:r>
      <w:r w:rsidR="005C459C">
        <w:rPr>
          <w:rFonts w:cs="Times New Roman"/>
        </w:rPr>
        <w:t>3</w:t>
      </w:r>
      <w:r w:rsidRPr="00CA4E67">
        <w:rPr>
          <w:rFonts w:cs="Times New Roman"/>
        </w:rPr>
        <w:t xml:space="preserve">. -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 xml:space="preserve">o zamówienia publiczne na podstawie ustawy z dnia 28 października 2002 r.  o odpowiedzialności </w:t>
      </w:r>
      <w:r w:rsidRPr="00CA4E67">
        <w:rPr>
          <w:rFonts w:cs="Times New Roman"/>
        </w:rPr>
        <w:lastRenderedPageBreak/>
        <w:t>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 xml:space="preserve">3. Jeżeli Zamawiający lub Wykonawca przekazują oświadczenia, wnioski, zawiadomienia oraz informacje przy użyciu środków komunikacji elektronicznej w rozumieniu ustawy  z dnia 18 lipca 2002 </w:t>
      </w:r>
      <w:r w:rsidRPr="00CA4E67">
        <w:rPr>
          <w:rFonts w:cs="Times New Roman"/>
        </w:rPr>
        <w:lastRenderedPageBreak/>
        <w:t>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1B7CA92B"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lastRenderedPageBreak/>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756AD053"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9A3F30E"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3CF1938C" w14:textId="3C4A0CB9"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.1. Oświadczenia, dotyczące Wykonawcy i innych podmiotów, na których zdolnościach zawodowych polega Wykonawca, składane  są w oryginale.</w:t>
      </w:r>
    </w:p>
    <w:p w14:paraId="5D1FC80F" w14:textId="71DFE513"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w:t>
      </w:r>
      <w:r w:rsidR="00CA44E7">
        <w:rPr>
          <w:rFonts w:cs="Times New Roman"/>
        </w:rPr>
        <w:t>2</w:t>
      </w:r>
      <w:r w:rsidR="007C3B7F" w:rsidRPr="00CA4E67">
        <w:rPr>
          <w:rFonts w:cs="Times New Roman"/>
        </w:rPr>
        <w:t xml:space="preserve">. 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BBD7058" w14:textId="57D3975A"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w:t>
      </w:r>
      <w:r w:rsidR="00CA44E7">
        <w:rPr>
          <w:rFonts w:cs="Times New Roman"/>
        </w:rPr>
        <w:t>3</w:t>
      </w:r>
      <w:r w:rsidR="007C3B7F" w:rsidRPr="00CA4E67">
        <w:rPr>
          <w:rFonts w:cs="Times New Roman"/>
        </w:rPr>
        <w:t xml:space="preserve">. 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1D988510" w14:textId="175A247D"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w:t>
      </w:r>
      <w:r w:rsidR="00CA44E7">
        <w:rPr>
          <w:rFonts w:cs="Times New Roman"/>
        </w:rPr>
        <w:t>4</w:t>
      </w:r>
      <w:r w:rsidR="007C3B7F" w:rsidRPr="00CA4E67">
        <w:rPr>
          <w:rFonts w:cs="Times New Roman"/>
        </w:rPr>
        <w:t xml:space="preserve">. Dokumenty sporządzone w języku obcym są składane wraz z ich tłumaczeniem na język polski. </w:t>
      </w:r>
    </w:p>
    <w:p w14:paraId="73F743CC" w14:textId="37E377F8" w:rsidR="007C3B7F" w:rsidRPr="00CA4E67" w:rsidRDefault="00C248E1" w:rsidP="006A21FA">
      <w:pPr>
        <w:spacing w:line="240" w:lineRule="auto"/>
        <w:jc w:val="both"/>
        <w:rPr>
          <w:rFonts w:cs="Times New Roman"/>
        </w:rPr>
      </w:pPr>
      <w:r>
        <w:rPr>
          <w:rFonts w:cs="Times New Roman"/>
        </w:rPr>
        <w:t>7</w:t>
      </w:r>
      <w:r w:rsidR="007C3B7F" w:rsidRPr="00CA4E67">
        <w:rPr>
          <w:rFonts w:cs="Times New Roman"/>
        </w:rPr>
        <w:t>.</w:t>
      </w:r>
      <w:r w:rsidR="00CA44E7">
        <w:rPr>
          <w:rFonts w:cs="Times New Roman"/>
        </w:rPr>
        <w:t>5</w:t>
      </w:r>
      <w:r w:rsidR="007C3B7F" w:rsidRPr="00CA4E67">
        <w:rPr>
          <w:rFonts w:cs="Times New Roman"/>
        </w:rPr>
        <w:t xml:space="preserve">. Jeżeli złożone kserokopie dokumentów będą nieczytelne lub będą budzić wątpliwości co do ich prawdziwości, Zamawiający może żądać przedstawienia oryginału lub notarialnie poświadczonej kopii dokumentu. </w:t>
      </w:r>
    </w:p>
    <w:p w14:paraId="089AEF28" w14:textId="19A4C30D" w:rsidR="007C3B7F" w:rsidRPr="00CA4E67" w:rsidRDefault="00C248E1" w:rsidP="006A21FA">
      <w:pPr>
        <w:spacing w:line="240" w:lineRule="auto"/>
        <w:jc w:val="both"/>
        <w:rPr>
          <w:rFonts w:cs="Times New Roman"/>
        </w:rPr>
      </w:pPr>
      <w:r>
        <w:rPr>
          <w:rFonts w:cs="Times New Roman"/>
        </w:rPr>
        <w:lastRenderedPageBreak/>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6CA5308D"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58767C">
        <w:rPr>
          <w:rFonts w:cs="Times New Roman"/>
        </w:rPr>
        <w:t>5</w:t>
      </w:r>
      <w:r w:rsidRPr="00CA4E67">
        <w:rPr>
          <w:rFonts w:cs="Times New Roman"/>
        </w:rPr>
        <w:t xml:space="preserve"> </w:t>
      </w:r>
      <w:r w:rsidR="00D343D0">
        <w:rPr>
          <w:rFonts w:cs="Times New Roman"/>
        </w:rPr>
        <w:t>grudnia</w:t>
      </w:r>
      <w:r w:rsidRPr="00CA4E67">
        <w:rPr>
          <w:rFonts w:cs="Times New Roman"/>
        </w:rPr>
        <w:t xml:space="preserve"> 201</w:t>
      </w:r>
      <w:r w:rsidR="00545FC4" w:rsidRPr="00CA4E67">
        <w:rPr>
          <w:rFonts w:cs="Times New Roman"/>
        </w:rPr>
        <w:t>8</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lastRenderedPageBreak/>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175B4D7E"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58767C">
        <w:rPr>
          <w:rFonts w:cs="Times New Roman"/>
        </w:rPr>
        <w:t>5</w:t>
      </w:r>
      <w:r w:rsidRPr="00CA4E67">
        <w:rPr>
          <w:rFonts w:cs="Times New Roman"/>
        </w:rPr>
        <w:t xml:space="preserve"> </w:t>
      </w:r>
      <w:r w:rsidR="00D343D0">
        <w:rPr>
          <w:rFonts w:cs="Times New Roman"/>
        </w:rPr>
        <w:t>grudnia</w:t>
      </w:r>
      <w:r w:rsidRPr="00CA4E67">
        <w:rPr>
          <w:rFonts w:cs="Times New Roman"/>
        </w:rPr>
        <w:t xml:space="preserve"> 2018 r. do godz. 10.00 </w:t>
      </w:r>
      <w:bookmarkStart w:id="1" w:name="_Hlk528932576"/>
      <w:r w:rsidRPr="00CA4E67">
        <w:rPr>
          <w:rFonts w:cs="Times New Roman"/>
        </w:rPr>
        <w:t xml:space="preserve">w Biurze „FUNDACJI DLA MŁODZIEŻY”, ul. Miodowa 17/19, 00-246 Warszawa.   </w:t>
      </w:r>
    </w:p>
    <w:bookmarkEnd w:id="1"/>
    <w:p w14:paraId="039C2B82" w14:textId="56D72330"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58767C">
        <w:rPr>
          <w:rFonts w:cs="Times New Roman"/>
        </w:rPr>
        <w:t>5</w:t>
      </w:r>
      <w:r w:rsidR="00D343D0">
        <w:rPr>
          <w:rFonts w:cs="Times New Roman"/>
        </w:rPr>
        <w:t xml:space="preserve"> grudnia</w:t>
      </w:r>
      <w:r w:rsidRPr="00CA4E67">
        <w:rPr>
          <w:rFonts w:cs="Times New Roman"/>
        </w:rPr>
        <w:t xml:space="preserve"> 2018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701BF5F6" w14:textId="77777777" w:rsidR="00594140" w:rsidRPr="00594140" w:rsidRDefault="00594140" w:rsidP="00594140">
      <w:pPr>
        <w:spacing w:line="240" w:lineRule="auto"/>
        <w:jc w:val="both"/>
        <w:rPr>
          <w:rFonts w:cs="Times New Roman"/>
        </w:rPr>
      </w:pPr>
      <w:r w:rsidRPr="00594140">
        <w:rPr>
          <w:rFonts w:cs="Times New Roman"/>
        </w:rPr>
        <w:t>1) CENA: Najwyższą liczbę punktów – 40,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40 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P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70045438" w14:textId="77777777" w:rsidR="00594140" w:rsidRPr="00594140" w:rsidRDefault="00594140" w:rsidP="00594140">
      <w:pPr>
        <w:spacing w:line="240" w:lineRule="auto"/>
        <w:jc w:val="both"/>
        <w:rPr>
          <w:rFonts w:cs="Times New Roman"/>
        </w:rPr>
      </w:pPr>
      <w:r w:rsidRPr="00594140">
        <w:rPr>
          <w:rFonts w:cs="Times New Roman"/>
        </w:rPr>
        <w:lastRenderedPageBreak/>
        <w:t>2) Doświadczenie trenera – 60 pkt – na podstawie załączonego Życiorysu opisującego doświadczenie w zakresie opisu przedmiotu zamówienia. Za każde zrealizowane szkolenie odpowiadające przedmiotowi zamówienia Zamawiający przyzna 10 pkt.</w:t>
      </w:r>
    </w:p>
    <w:p w14:paraId="61A733B6" w14:textId="711FE073" w:rsidR="000F2AE2" w:rsidRPr="00BB0D14" w:rsidRDefault="00594140" w:rsidP="00594140">
      <w:pPr>
        <w:spacing w:line="240" w:lineRule="auto"/>
        <w:jc w:val="both"/>
        <w:rPr>
          <w:rFonts w:cs="Times New Roman"/>
        </w:rPr>
      </w:pPr>
      <w:r w:rsidRPr="00594140">
        <w:rPr>
          <w:rFonts w:cs="Times New Roman"/>
        </w:rPr>
        <w:t>Wykonawca zobowiązany jest załączyć do oferty życiorys w celu oceny doświadczenia trenera w ramach kryterium „Doświadczenie trenera”.</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lastRenderedPageBreak/>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3BF4EEEF"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2008C8A"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w:t>
      </w:r>
      <w:r w:rsidR="00CE0ACD" w:rsidRPr="00CE0ACD">
        <w:rPr>
          <w:rFonts w:cs="Times New Roman"/>
        </w:rPr>
        <w:t xml:space="preserve"> </w:t>
      </w:r>
      <w:r w:rsidR="00CE0ACD" w:rsidRPr="007F0429">
        <w:rPr>
          <w:rFonts w:cs="Times New Roman"/>
        </w:rPr>
        <w:t xml:space="preserve">zgodzi się zrealizować zamówienie </w:t>
      </w:r>
      <w:r w:rsidR="00CE0ACD">
        <w:rPr>
          <w:rFonts w:cs="Times New Roman"/>
        </w:rPr>
        <w:t>po przeprowadzonych negocjacjach</w:t>
      </w:r>
      <w:bookmarkStart w:id="2" w:name="_GoBack"/>
      <w:bookmarkEnd w:id="2"/>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lastRenderedPageBreak/>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33A823C2" w:rsidR="009923CC" w:rsidRPr="00CA4E67" w:rsidRDefault="006A21FA" w:rsidP="00F3501E">
      <w:pPr>
        <w:spacing w:line="240" w:lineRule="auto"/>
        <w:jc w:val="both"/>
        <w:rPr>
          <w:rFonts w:cs="Times New Roman"/>
        </w:rPr>
      </w:pPr>
      <w:r w:rsidRPr="00CA4E67">
        <w:rPr>
          <w:rFonts w:cs="Times New Roman"/>
        </w:rPr>
        <w:t>ZAŁĄCZNIKI</w:t>
      </w:r>
    </w:p>
    <w:sectPr w:rsidR="009923C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9536" w14:textId="77777777" w:rsidR="009908F9" w:rsidRDefault="009908F9" w:rsidP="009923CC">
      <w:pPr>
        <w:spacing w:after="0" w:line="240" w:lineRule="auto"/>
      </w:pPr>
      <w:r>
        <w:separator/>
      </w:r>
    </w:p>
  </w:endnote>
  <w:endnote w:type="continuationSeparator" w:id="0">
    <w:p w14:paraId="3C9FF9E7" w14:textId="77777777" w:rsidR="009908F9" w:rsidRDefault="009908F9"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8AF3" w14:textId="77777777" w:rsidR="009908F9" w:rsidRDefault="009908F9" w:rsidP="009923CC">
      <w:pPr>
        <w:spacing w:after="0" w:line="240" w:lineRule="auto"/>
      </w:pPr>
      <w:r>
        <w:separator/>
      </w:r>
    </w:p>
  </w:footnote>
  <w:footnote w:type="continuationSeparator" w:id="0">
    <w:p w14:paraId="6A62EEB8" w14:textId="77777777" w:rsidR="009908F9" w:rsidRDefault="009908F9"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36645"/>
    <w:rsid w:val="000501CB"/>
    <w:rsid w:val="00077715"/>
    <w:rsid w:val="00083DA2"/>
    <w:rsid w:val="00084DEA"/>
    <w:rsid w:val="000C17D2"/>
    <w:rsid w:val="000D1D4E"/>
    <w:rsid w:val="000F2AE2"/>
    <w:rsid w:val="00112B0B"/>
    <w:rsid w:val="0011382F"/>
    <w:rsid w:val="001B77CC"/>
    <w:rsid w:val="001D6323"/>
    <w:rsid w:val="00201AF7"/>
    <w:rsid w:val="00214E01"/>
    <w:rsid w:val="00221BCC"/>
    <w:rsid w:val="00243EBE"/>
    <w:rsid w:val="0026241A"/>
    <w:rsid w:val="002666AD"/>
    <w:rsid w:val="002822DD"/>
    <w:rsid w:val="00285044"/>
    <w:rsid w:val="002A4933"/>
    <w:rsid w:val="002A5E7A"/>
    <w:rsid w:val="002F0380"/>
    <w:rsid w:val="002F5BC8"/>
    <w:rsid w:val="00334212"/>
    <w:rsid w:val="003355DB"/>
    <w:rsid w:val="00345CAF"/>
    <w:rsid w:val="003941E2"/>
    <w:rsid w:val="00397271"/>
    <w:rsid w:val="003E1BCE"/>
    <w:rsid w:val="00410AA5"/>
    <w:rsid w:val="0043709A"/>
    <w:rsid w:val="004378F8"/>
    <w:rsid w:val="0045330A"/>
    <w:rsid w:val="00470C1E"/>
    <w:rsid w:val="0048336F"/>
    <w:rsid w:val="00492DB1"/>
    <w:rsid w:val="004B3B25"/>
    <w:rsid w:val="004D3019"/>
    <w:rsid w:val="004E77B6"/>
    <w:rsid w:val="004F3FAE"/>
    <w:rsid w:val="00522767"/>
    <w:rsid w:val="005357B1"/>
    <w:rsid w:val="005436DF"/>
    <w:rsid w:val="00545FC4"/>
    <w:rsid w:val="0058767C"/>
    <w:rsid w:val="00594140"/>
    <w:rsid w:val="005A4160"/>
    <w:rsid w:val="005C459C"/>
    <w:rsid w:val="005F1ACB"/>
    <w:rsid w:val="00606354"/>
    <w:rsid w:val="00610380"/>
    <w:rsid w:val="006331C7"/>
    <w:rsid w:val="00633A7B"/>
    <w:rsid w:val="0063580F"/>
    <w:rsid w:val="0063667E"/>
    <w:rsid w:val="006A21FA"/>
    <w:rsid w:val="006B1C46"/>
    <w:rsid w:val="006B6517"/>
    <w:rsid w:val="006E1FE2"/>
    <w:rsid w:val="007034BF"/>
    <w:rsid w:val="007121BC"/>
    <w:rsid w:val="00724608"/>
    <w:rsid w:val="0075079E"/>
    <w:rsid w:val="00776FD3"/>
    <w:rsid w:val="00780B2F"/>
    <w:rsid w:val="00793F11"/>
    <w:rsid w:val="007C3B7F"/>
    <w:rsid w:val="007F0429"/>
    <w:rsid w:val="008545FC"/>
    <w:rsid w:val="00865C40"/>
    <w:rsid w:val="00876249"/>
    <w:rsid w:val="00880BF8"/>
    <w:rsid w:val="00891799"/>
    <w:rsid w:val="008D5ED6"/>
    <w:rsid w:val="008E19C8"/>
    <w:rsid w:val="009368EF"/>
    <w:rsid w:val="009433AF"/>
    <w:rsid w:val="00954AA5"/>
    <w:rsid w:val="009908F9"/>
    <w:rsid w:val="009923CC"/>
    <w:rsid w:val="009A011D"/>
    <w:rsid w:val="009B462C"/>
    <w:rsid w:val="009C7EAE"/>
    <w:rsid w:val="009E715B"/>
    <w:rsid w:val="00A15104"/>
    <w:rsid w:val="00A170B0"/>
    <w:rsid w:val="00A5350F"/>
    <w:rsid w:val="00A7094A"/>
    <w:rsid w:val="00B21D00"/>
    <w:rsid w:val="00B90808"/>
    <w:rsid w:val="00BB0D14"/>
    <w:rsid w:val="00BB1E85"/>
    <w:rsid w:val="00BC2E7D"/>
    <w:rsid w:val="00BC3979"/>
    <w:rsid w:val="00BE225A"/>
    <w:rsid w:val="00BF3D77"/>
    <w:rsid w:val="00C02EFD"/>
    <w:rsid w:val="00C248E1"/>
    <w:rsid w:val="00C76EFE"/>
    <w:rsid w:val="00CA44E7"/>
    <w:rsid w:val="00CA4E67"/>
    <w:rsid w:val="00CB6685"/>
    <w:rsid w:val="00CE0ACD"/>
    <w:rsid w:val="00D1352C"/>
    <w:rsid w:val="00D14513"/>
    <w:rsid w:val="00D253C3"/>
    <w:rsid w:val="00D343D0"/>
    <w:rsid w:val="00D35776"/>
    <w:rsid w:val="00D46B91"/>
    <w:rsid w:val="00D54445"/>
    <w:rsid w:val="00D720D5"/>
    <w:rsid w:val="00E12A3A"/>
    <w:rsid w:val="00E31267"/>
    <w:rsid w:val="00E44881"/>
    <w:rsid w:val="00E566F8"/>
    <w:rsid w:val="00E56E27"/>
    <w:rsid w:val="00E73AE2"/>
    <w:rsid w:val="00E86FCE"/>
    <w:rsid w:val="00ED2873"/>
    <w:rsid w:val="00F3292B"/>
    <w:rsid w:val="00F3501E"/>
    <w:rsid w:val="00F42F7E"/>
    <w:rsid w:val="00F4782C"/>
    <w:rsid w:val="00F61271"/>
    <w:rsid w:val="00F730A9"/>
    <w:rsid w:val="00F85E33"/>
    <w:rsid w:val="00FA6F73"/>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82DE83D9-7D94-4DA4-A765-39A641B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4933</Words>
  <Characters>29600</Characters>
  <Application>Microsoft Office Word</Application>
  <DocSecurity>0</DocSecurity>
  <Lines>246</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24</cp:revision>
  <dcterms:created xsi:type="dcterms:W3CDTF">2018-11-29T20:09:00Z</dcterms:created>
  <dcterms:modified xsi:type="dcterms:W3CDTF">2018-12-27T11:22:00Z</dcterms:modified>
</cp:coreProperties>
</file>